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Evidence Completeness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p03-full-003472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2026-07-20-working-notes-timeline-annotation-evidence-metrics-tsv-s001249.tsv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completeness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test whether every dependency field is represented in the review record.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date.2026-07-20 — Seven-day follow-up validates closure evidence and residual-risk status.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2026-07-20-working-notes-timeline-annotation-evidence-metrics-tsv-s001249.tsv; its bounded fields are reviewed as evidence for evidence completeness.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date.2026-07-20: Seven-day follow-up validates closure evidence and residual-risk status.</ns0:t>
      </ns0:r>
    </ns0:p>
    <ns0:p>
      <ns0:pPr>
        <ns0:pStyle ns0:val="Heading2"/>
      </ns0:pPr>
      <ns0:r>
        <ns0:t>Action</ns0:t>
      </ns0:r>
    </ns0:p>
    <ns0:p>
      <ns0:r>
        <ns0:t>Security GRC records the evidence completeness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evidence completeness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evidence completeness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p03-full-001249 / 2026-07-20-working-notes-timeline-annotation-evidence-metrics-tsv-s001249.tsv.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