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openxmlformats.org/officeDocument/2006/relationships" ns1:Ignorable="w14 wp14">
  <ns0:body>
    <ns0:p>
      <ns0:pPr>
        <ns0:pStyle ns0:val="Title"/>
      </ns0:pPr>
      <ns0:r>
        <ns0:t>Period Interpretation Review Record</ns0:t>
      </ns0:r>
    </ns0:p>
    <ns0:p>
      <ns0:pPr>
        <ns0:jc ns0:val="left"/>
      </ns0:pPr>
      <ns0:r>
        <ns0:rPr>
          <ns0:i/>
          <ns0:color ns0:val="595959"/>
        </ns0:rPr>
        <ns0:t>Working review document | p03-full-009954</ns0:t>
      </ns0:r>
    </ns0:p>
    <ns0:tbl>
      <ns0:tblPr>
        <ns0:tblStyle ns0:val="TableGrid"/>
        <ns0:tblW ns0:type="auto" ns0:w="0"/>
        <ns0:jc ns0:val="left"/>
        <ns0:tblLook ns0:firstColumn="1" ns0:firstRow="1" ns0:lastColumn="0" ns0:lastRow="0" ns0:noHBand="0" ns0:noVBand="1" ns0:val="04A0"/>
      </ns0:tblPr>
      <ns0:tblGrid>
        <ns0:gridCol ns0:w="4939"/>
        <ns0:gridCol ns0:w="4939"/>
      </ns0:tblGrid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Case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CASE-260713-184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Control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Aegis Control AC-27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period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2026-07-15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Evidence set 184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Risk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RISK-031; residual Medium after compensating review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Owner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Security GRC, Cobalt Harbor Systems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file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2026-q3-working-notes-checksum-check-evidence-metrics-tsv-s002618.tsv</ns0:t>
            </ns0:r>
          </ns0:p>
        </ns0:tc>
      </ns0:tr>
      <ns0:tr>
        <ns0:tc>
          <ns0:tcPr>
            <ns0:tcW ns0:type="dxa" ns0:w="4939"/>
            <ns0:shd ns0:fill="E8EEF5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Review method</ns0:t>
            </ns0:r>
          </ns0:p>
        </ns0:tc>
        <ns0:tc>
          <ns0:tcPr>
            <ns0:tcW ns0:type="dxa" ns0:w="4939"/>
            <ns0:vAlign ns0:val="center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period interpretation</ns0:t>
            </ns0:r>
          </ns0:p>
        </ns0:tc>
      </ns0:tr>
    </ns0:tbl>
    <ns0:p>
      <ns0:pPr>
        <ns0:pStyle ns0:val="Heading1"/>
      </ns0:pPr>
      <ns0:r>
        <ns0:t>Review purpose</ns0:t>
      </ns0:r>
    </ns0:p>
    <ns0:p>
      <ns0:r>
        <ns0:t>This synthetic working record supports a bounded evidence-chain review for Cobalt Harbor Systems. The planned activity is to interpret the stated review period only within the dependency record. It records review context without representing a live audit, incident, system access, or Kio indexing claim.</ns0:t>
      </ns0:r>
    </ns0:p>
    <ns0:p>
      <ns0:pPr>
        <ns0:pStyle ns0:val="Heading1"/>
      </ns0:pPr>
      <ns0:r>
        <ns0:t>Direct dependency evidence</ns0:t>
      </ns0:r>
    </ns0:p>
    <ns0:p>
      <ns0:pPr>
        <ns0:pStyle ns0:val="ListBullet"/>
      </ns0:pPr>
      <ns0:r>
        <ns0:t>org.cobalt-harbor — Cobalt Harbor Systems (CHS) is a fictional organization operating a managed logistics and harbor-operations platform.</ns0:t>
      </ns0:r>
    </ns0:p>
    <ns0:p>
      <ns0:pPr>
        <ns0:pStyle ns0:val="ListBullet"/>
      </ns0:pPr>
      <ns0:r>
        <ns0:t>team.grc — Security GRC owns the AC-27 evidence register, risk treatment tracking, and audit-request coordination.</ns0:t>
      </ns0:r>
    </ns0:p>
    <ns0:p>
      <ns0:pPr>
        <ns0:pStyle ns0:val="ListBullet"/>
      </ns0:pPr>
      <ns0:r>
        <ns0:t>period.2026-q3 — Governance planning period from 2026-07-01 through 2026-09-30.</ns0:t>
      </ns0:r>
    </ns0:p>
    <ns0:p>
      <ns0:pPr>
        <ns0:pStyle ns0:val="Heading1"/>
      </ns0:pPr>
      <ns0:r>
        <ns0:t>Evidence-chain observations</ns0:t>
      </ns0:r>
    </ns0:p>
    <ns0:p>
      <ns0:pPr>
        <ns0:pStyle ns0:val="Heading2"/>
      </ns0:pPr>
      <ns0:r>
        <ns0:t>Finding</ns0:t>
      </ns0:r>
    </ns0:p>
    <ns0:p>
      <ns0:r>
        <ns0:t>The direct source is 2026-q3-working-notes-checksum-check-evidence-metrics-tsv-s002618.tsv; its bounded fields are reviewed as evidence for period interpretation.</ns0:t>
      </ns0:r>
    </ns0:p>
    <ns0:p>
      <ns0:pPr>
        <ns0:pStyle ns0:val="Heading2"/>
      </ns0:pPr>
      <ns0:r>
        <ns0:t>Decision</ns0:t>
      </ns0:r>
    </ns0:p>
    <ns0:p>
      <ns0:r>
        <ns0:t>Use the listed source facts as the record of reference and do not infer facts beyond: org.cobalt-harbor: Cobalt Harbor Systems (CHS) is a fictional organization operating a managed logistics and harbor-operations platform.; team.grc: Security GRC owns the AC-27 evidence register, risk treatment tracking, and audit-request coordination.; period.2026-q3: Governance planning period from 2026-07-01 through 2026-09-30.</ns0:t>
      </ns0:r>
    </ns0:p>
    <ns0:p>
      <ns0:pPr>
        <ns0:pStyle ns0:val="Heading2"/>
      </ns0:pPr>
      <ns0:r>
        <ns0:t>Action</ns0:t>
      </ns0:r>
    </ns0:p>
    <ns0:p>
      <ns0:r>
        <ns0:t>Security GRC records a period interpretation outcome and queues the next control-owner acknowledgement appropriate to the source period.</ns0:t>
      </ns0:r>
    </ns0:p>
    <ns0:p>
      <ns0:r>
        <ns0:br ns0:type="page"/>
      </ns0:r>
    </ns0:p>
    <ns0:p>
      <ns0:pPr>
        <ns0:pStyle ns0:val="Heading1"/>
      </ns0:pPr>
      <ns0:r>
        <ns0:t>Reviewer checklist</ns0:t>
      </ns0:r>
    </ns0:p>
    <ns0:p>
      <ns0:pPr>
        <ns0:pStyle ns0:val="ListBullet"/>
      </ns0:pPr>
      <ns0:r>
        <ns0:t>Confirm case and evidence identifiers are consistent across the working record.</ns0:t>
      </ns0:r>
    </ns0:p>
    <ns0:p>
      <ns0:pPr>
        <ns0:pStyle ns0:val="ListBullet"/>
      </ns0:pPr>
      <ns0:r>
        <ns0:t>Confirm AC-27 role separation is documented for the exception disposition.</ns0:t>
      </ns0:r>
    </ns0:p>
    <ns0:p>
      <ns0:pPr>
        <ns0:pStyle ns0:val="ListBullet"/>
      </ns0:pPr>
      <ns0:r>
        <ns0:t>Record any follow-up as a synthetic governance action; do not introduce live-source facts.</ns0:t>
      </ns0:r>
    </ns0:p>
    <ns0:p>
      <ns0:pPr>
        <ns0:pStyle ns0:val="Heading1"/>
      </ns0:pPr>
      <ns0:r>
        <ns0:t>Evidence test record</ns0:t>
      </ns0:r>
    </ns0:p>
    <ns0:p>
      <ns0:r>
        <ns0:t>Review question: Does the direct dependency provide enough bounded information for period interpretation without adding a live operational claim?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3293"/>
        <ns0:gridCol ns0:w="3293"/>
        <ns0:gridCol ns0:w="3293"/>
      </ns0:tblGrid>
      <ns0:tr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Source field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Evidence test</ns0:t>
            </ns0:r>
          </ns0:p>
        </ns0:tc>
        <ns0:tc>
          <ns0:tcPr>
            <ns0:tcW ns0:type="dxa" ns0:w="3293"/>
            <ns0:shd ns0:fill="E8EEF5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/>
                <ns0:sz ns0:val="18"/>
              </ns0:rPr>
              <ns0:t>Result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org.cobalt-harbor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team.grc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  <ns0:tr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2026 Q3 review period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Compare canonical value to the review statement</ns0:t>
            </ns0:r>
          </ns0:p>
        </ns0:tc>
        <ns0:tc>
          <ns0:tcPr>
            <ns0:tcW ns0:type="dxa" ns0:w="3293"/>
          </ns0:tcPr>
          <ns0:p>
            <ns0:pPr>
              <ns0:spacing ns0:after="40"/>
            </ns0:pPr>
            <ns0:r/>
            <ns0:r>
              <ns0:rPr>
                <ns0:rFonts ns0:ascii="Calibri" ns0:hAnsi="Calibri"/>
                <ns0:b ns0:val="0"/>
                <ns0:sz ns0:val="18"/>
              </ns0:rPr>
              <ns0:t>Retained as stated</ns0:t>
            </ns0:r>
          </ns0:p>
        </ns0:tc>
      </ns0:tr>
    </ns0:tbl>
    <ns0:p>
      <ns0:pPr>
        <ns0:pStyle ns0:val="Heading1"/>
      </ns0:pPr>
      <ns0:r>
        <ns0:t>Next action</ns0:t>
      </ns0:r>
    </ns0:p>
    <ns0:p>
      <ns0:r>
        <ns0:t>Record the period interpretation result in the synthetic GRC workflow, assign acknowledgement to the relevant governance role, and retain the direct source reference with the evidence-chain record.</ns0:t>
      </ns0:r>
    </ns0:p>
    <ns0:p>
      <ns0:r>
        <ns0:rPr>
          <ns0:i/>
        </ns0:rPr>
        <ns0:t>Dependency reference: p03-full-002618 / 2026-q3-working-notes-checksum-check-evidence-metrics-tsv-s002618.tsv. This document is a synthetic derivative and makes no claim about Kio indexing, history, chunks, search quality, or performance.</ns0:t>
      </ns0:r>
    </ns0:p>
    <ns0:sectPr ns0:rsidR="00FC693F" ns0:rsidRPr="0006063C" ns0:rsidSect="00034616">
      <ns0:headerReference ns0:type="default" ns2:id="rId9"/>
      <ns0:footerReference ns0:type="default" ns2:id="rId10"/>
      <ns0:pgSz ns0:w="12240" ns0:h="15840"/>
      <ns0:pgMar ns0:top="1037" ns0:right="1181" ns0:bottom="1037" ns0:left="1181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5959"/>
        <w:sz w:val="16"/>
      </w:rPr>
      <w:t>Synthetic evidence record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95959"/>
        <w:sz w:val="16"/>
      </w:rPr>
      <w:t>COBALT HARBOR SYSTEMS  |  SECURITY GRC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Calibri" w:hAnsi="Calibri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F4D78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0B2545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ns0:coreProperties xmlns:dc="http://purl.org/dc/elements/1.1/" xmlns:ns0="http://schemas.openxmlformats.org/package/2006/metadata/core-properties" xmlns:ns2="http://purl.org/dc/terms/" xmlns:xsi="http://www.w3.org/2001/XMLSchema-instance">
  <dc:title/>
  <dc:subject/>
  <dc:creator>python-docx</dc:creator>
  <ns0:keywords/>
  <dc:description>generated by python-docx</dc:description>
  <ns0:lastModifiedBy/>
  <ns0:revision>1</ns0:revision>
  <ns2:created xsi:type="dcterms:W3CDTF">2013-12-23T23:15:00Z</ns2:created>
  <ns2:modified xsi:type="dcterms:W3CDTF">2013-12-23T23:15:00Z</ns2:modified>
  <ns0:category/>
</ns0:coreProperties>
</file>