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Decision Rationale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p03-full-008908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2026-07-20-working-notes-timeline-annotation-evidence-metrics-tsv-s001249.tsv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decision rationale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write a rationale that cites the direct source facts rather than inferred metrics.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date.2026-07-20 — Seven-day follow-up validates closure evidence and residual-risk status.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2026-07-20-working-notes-timeline-annotation-evidence-metrics-tsv-s001249.tsv; its bounded fields are reviewed as evidence for decision rationale.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date.2026-07-20: Seven-day follow-up validates closure evidence and residual-risk status.</ns0:t>
      </ns0:r>
    </ns0:p>
    <ns0:p>
      <ns0:pPr>
        <ns0:pStyle ns0:val="Heading2"/>
      </ns0:pPr>
      <ns0:r>
        <ns0:t>Action</ns0:t>
      </ns0:r>
    </ns0:p>
    <ns0:p>
      <ns0:r>
        <ns0:t>Security GRC records a decision rationale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decision rationale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decision rationale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p03-full-001249 / 2026-07-20-working-notes-timeline-annotation-evidence-metrics-tsv-s001249.tsv.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