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Retention Decision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p03-full-008032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2026-07-20-working-notes-timeline-annotation-evidence-metrics-tsv-s001249.tsv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retention decision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test whether the stated source facts support the retention disposition.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date.2026-07-20 — Seven-day follow-up validates closure evidence and residual-risk status.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2026-07-20-working-notes-timeline-annotation-evidence-metrics-tsv-s001249.tsv; its bounded fields are reviewed as evidence for retention decision.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date.2026-07-20: Seven-day follow-up validates closure evidence and residual-risk status.</ns0:t>
      </ns0:r>
    </ns0:p>
    <ns0:p>
      <ns0:pPr>
        <ns0:pStyle ns0:val="Heading2"/>
      </ns0:pPr>
      <ns0:r>
        <ns0:t>Action</ns0:t>
      </ns0:r>
    </ns0:p>
    <ns0:p>
      <ns0:r>
        <ns0:t>Security GRC records a retention decision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retention decision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retention decision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p03-full-001249 / 2026-07-20-working-notes-timeline-annotation-evidence-metrics-tsv-s001249.tsv.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