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Scope Boundary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p03-full-009754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2026-q3-working-notes-review-draft-evidence-metrics-csv-s003707.csv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scope boundary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that the source does not introduce live-system or personal-data claims.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period.2026-q3 — Governance planning period from 2026-07-01 through 2026-09-30.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2026-q3-working-notes-review-draft-evidence-metrics-csv-s003707.csv; its bounded fields are reviewed as evidence for scope boundary.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period.2026-q3: Governance planning period from 2026-07-01 through 2026-09-30.</ns0:t>
      </ns0:r>
    </ns0:p>
    <ns0:p>
      <ns0:pPr>
        <ns0:pStyle ns0:val="Heading2"/>
      </ns0:pPr>
      <ns0:r>
        <ns0:t>Action</ns0:t>
      </ns0:r>
    </ns0:p>
    <ns0:p>
      <ns0:r>
        <ns0:t>Security GRC records a scope boundary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scope boundary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scope boundary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p03-full-003707 / 2026-q3-working-notes-review-draft-evidence-metrics-csv-s003707.csv.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