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Attestation Treatment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p03-full-009472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2026-07-20-working-notes-timeline-annotation-evidence-metrics-tsv-s001249.tsv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attestation treatment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test whether the source supports the compensating-review treatment.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date.2026-07-20 — Seven-day follow-up validates closure evidence and residual-risk status.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2026-07-20-working-notes-timeline-annotation-evidence-metrics-tsv-s001249.tsv; its bounded fields are reviewed as evidence for attestation treatment.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date.2026-07-20: Seven-day follow-up validates closure evidence and residual-risk status.</ns0:t>
      </ns0:r>
    </ns0:p>
    <ns0:p>
      <ns0:pPr>
        <ns0:pStyle ns0:val="Heading2"/>
      </ns0:pPr>
      <ns0:r>
        <ns0:t>Action</ns0:t>
      </ns0:r>
    </ns0:p>
    <ns0:p>
      <ns0:r>
        <ns0:t>Security GRC records an attestation treatment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attestation treatment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attestation treatment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p03-full-001249 / 2026-07-20-working-notes-timeline-annotation-evidence-metrics-tsv-s001249.tsv.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