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Source Fidelity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p03-full-007131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2026-07-20-working-notes-checksum-check-evidence-metrics-tsv-s001182.tsv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source fidelity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compare each stated field with the dependency record before summarizing it.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date.2026-07-20 — Seven-day follow-up validates closure evidence and residual-risk status.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2026-07-20-working-notes-checksum-check-evidence-metrics-tsv-s001182.tsv; its bounded fields are reviewed as evidence for source fidelity.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date.2026-07-20: Seven-day follow-up validates closure evidence and residual-risk status.</ns0:t>
      </ns0:r>
    </ns0:p>
    <ns0:p>
      <ns0:pPr>
        <ns0:pStyle ns0:val="Heading2"/>
      </ns0:pPr>
      <ns0:r>
        <ns0:t>Action</ns0:t>
      </ns0:r>
    </ns0:p>
    <ns0:p>
      <ns0:r>
        <ns0:t>Security GRC records a source fidelity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source fidelity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source fidelity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p03-full-001182 / 2026-07-20-working-notes-checksum-check-evidence-metrics-tsv-s001182.tsv.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