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Field Normalization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p03-full-008109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2026-07-20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2026-07-13-working-notes-checksum-check-evidence-metrics-csv-s003366.csv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field normalization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verify the source labels and canonical values remain paired after review.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case.case-260713-184 — CASE-260713-184 is the synthetic evidence intake case for evidence set 184, not a real incident.</ns0:t>
      </ns0:r>
    </ns0:p>
    <ns0:p>
      <ns0:pPr>
        <ns0:pStyle ns0:val="ListBullet"/>
      </ns0:pPr>
      <ns0:r>
        <ns0:t>date.2026-07-13 — Primary review date. Evidence intake opens 08:30 UTC; AC-27 review closes at 16:45 UTC.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2026-07-13-working-notes-checksum-check-evidence-metrics-csv-s003366.csv; its bounded fields are reviewed as evidence for field normalization.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case.case-260713-184: CASE-260713-184 is the synthetic evidence intake case for evidence set 184, not a real incident.; date.2026-07-13: Primary review date. Evidence intake opens 08:30 UTC; AC-27 review closes at 16:45 UTC.</ns0:t>
      </ns0:r>
    </ns0:p>
    <ns0:p>
      <ns0:pPr>
        <ns0:pStyle ns0:val="Heading2"/>
      </ns0:pPr>
      <ns0:r>
        <ns0:t>Action</ns0:t>
      </ns0:r>
    </ns0:p>
    <ns0:p>
      <ns0:r>
        <ns0:t>Security GRC records a field normalization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field normalization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case.case-260713-184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field normalization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p03-full-003366 / 2026-07-13-working-notes-checksum-check-evidence-metrics-csv-s003366.csv.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