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Control Ownership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p03-full-005309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2026-07-13-working-notes-checksum-check-evidence-metrics-csv-s002066.csv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control ownership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separate the Security GRC responsibility from control-owner acknowledgement.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2026-07-13-working-notes-checksum-check-evidence-metrics-csv-s002066.csv; its bounded fields are reviewed as evidence for control ownership.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control ownership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control ownership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control ownership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p03-full-002066 / 2026-07-13-working-notes-checksum-check-evidence-metrics-csv-s002066.csv.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