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Field Normalization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p03-full-002168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2026-07-15-working-notes-evidence-triage-evidence-metrics-csv-s003024.csv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field normalization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verify the source labels and canonical values remain paired after review.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date.2026-07-15 — Control owner validates the remediation plan and retention disposition.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2026-07-15-working-notes-evidence-triage-evidence-metrics-csv-s003024.csv; its bounded fields are reviewed as evidence for field normalization.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date.2026-07-15: Control owner validates the remediation plan and retention disposition.</ns0:t>
      </ns0:r>
    </ns0:p>
    <ns0:p>
      <ns0:pPr>
        <ns0:pStyle ns0:val="Heading2"/>
      </ns0:pPr>
      <ns0:r>
        <ns0:t>Action</ns0:t>
      </ns0:r>
    </ns0:p>
    <ns0:p>
      <ns0:r>
        <ns0:t>Security GRC records a field normalization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field normalization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field normalization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p03-full-003024 / 2026-07-15-working-notes-evidence-triage-evidence-metrics-csv-s003024.csv.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