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Case Classification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p03-full-009093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2026-07-13-working-notes-checksum-check-evidence-metrics-csv-s003366.csv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 classification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confirm the source describes a bounded evidence intake rather than an incident.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date.2026-07-13 — Primary review date. Evidence intake opens 08:30 UTC; AC-27 review closes at 16:45 UTC.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2026-07-13-working-notes-checksum-check-evidence-metrics-csv-s003366.csv; its bounded fields are reviewed as evidence for case classification.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date.2026-07-13: Primary review date. Evidence intake opens 08:30 UTC; AC-27 review closes at 16:45 UTC.</ns0:t>
      </ns0:r>
    </ns0:p>
    <ns0:p>
      <ns0:pPr>
        <ns0:pStyle ns0:val="Heading2"/>
      </ns0:pPr>
      <ns0:r>
        <ns0:t>Action</ns0:t>
      </ns0:r>
    </ns0:p>
    <ns0:p>
      <ns0:r>
        <ns0:t>Security GRC records a case classification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case classification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case classification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p03-full-003366 / 2026-07-13-working-notes-checksum-check-evidence-metrics-csv-s003366.csv.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