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jc ns0:val="left"/>
      </ns0:pPr>
      <ns0:r>
        <ns0:rPr>
          <ns0:b/>
          <ns0:color ns0:val="163A5F"/>
          <ns0:sz ns0:val="40"/>
        </ns0:rPr>
        <ns0:t>DETECTION REVIEW ASSURANCE NOTE</ns0:t>
      </ns0:r>
    </ns0:p>
    <ns0:p>
      <ns0:r>
        <ns0:rPr>
          <ns0:color ns0:val="595959"/>
          <ns0:sz ns0:val="18"/>
        </ns0:rPr>
        <ns0:t>Cobalt Harbor Systems | 2026 Q3 review period | p03-full-002834</ns0:t>
      </ns0:r>
    </ns0:p>
    <ns0:p>
      <ns0:r>
        <ns0:t>Cobalt Harbor Systems Security Operations records the evidence linkage assurance review for the 2026 Q3 review period. The bounded Sentinel Export summary contains synthetic categories and counts only. Aegis Control AC-27 evidence set 184 reconciles 24 of 24 required synthetic items. RISK-031 remains residual Medium after the documented compensating review; this record makes no Kio, live-system, or incident claim. Direct dependency evidence read for this record — p03-full-000406 (csv_tsv): record=p03-full-000406; date=2026-07-20; topic=evidence linkage; control=AC-27; metrics=48 reviewed/47 timely/48 final; completeness=24 of 24; residual=Medium; decision=AC-27 control review confirms preparer and reviewer separation; CASE-260713-184 retains RISK-031 at Medium residual risk.</ns0:t>
      </ns0:r>
    </ns0:p>
    <ns0:p>
      <ns0:r>
        <ns0:rPr>
          <ns0:b/>
          <ns0:color ns0:val="163A5F"/>
          <ns0:sz ns0:val="26"/>
        </ns0:rPr>
        <ns0:t>Review register</ns0:t>
      </ns0:r>
    </ns0:p>
    <ns0:tbl>
      <ns0:tblPr>
        <ns0:tblStyle ns0:val="TableGrid"/>
        <ns0:tblW ns0:type="auto" ns0:w="0"/>
        <ns0:jc ns0:val="left"/>
        <ns0:tblLook ns0:firstColumn="1" ns0:firstRow="1" ns0:lastColumn="0" ns0:lastRow="0" ns0:noHBand="0" ns0:noVBand="1" ns0:val="04A0"/>
      </ns0:tblPr>
      <ns0:tblGrid>
        <ns0:gridCol ns0:w="4968"/>
        <ns0:gridCol ns0:w="4968"/>
      </ns0:tblGrid>
      <ns0:tr>
        <ns0:tc>
          <ns0:tcPr>
            <ns0:tcW ns0:type="dxa" ns0:w="4968"/>
            <ns0:shd ns0:fill="163A5F"/>
          </ns0:tcPr>
          <ns0:p>
            <ns0:r>
              <ns0:rPr>
                <ns0:b/>
                <ns0:color ns0:val="FFFFFF"/>
              </ns0:rPr>
              <ns0:t>Field</ns0:t>
            </ns0:r>
          </ns0:p>
        </ns0:tc>
        <ns0:tc>
          <ns0:tcPr>
            <ns0:tcW ns0:type="dxa" ns0:w="4968"/>
            <ns0:shd ns0:fill="163A5F"/>
          </ns0:tcPr>
          <ns0:p>
            <ns0:r>
              <ns0:rPr>
                <ns0:b/>
                <ns0:color ns0:val="FFFFFF"/>
              </ns0:rPr>
              <ns0:t>Verified synthetic fact</ns0:t>
            </ns0:r>
          </ns0:p>
        </ns0:tc>
      </ns0:tr>
      <ns0:tr>
        <ns0:tc>
          <ns0:tcPr>
            <ns0:tcW ns0:type="dxa" ns0:w="4968"/>
            <ns0:vAlign ns0:val="center"/>
          </ns0:tcPr>
          <ns0:p>
            <ns0:r>
              <ns0:t>Artifact ID</ns0:t>
            </ns0:r>
          </ns0:p>
        </ns0:tc>
        <ns0:tc>
          <ns0:tcPr>
            <ns0:tcW ns0:type="dxa" ns0:w="4968"/>
            <ns0:vAlign ns0:val="center"/>
          </ns0:tcPr>
          <ns0:p>
            <ns0:r>
              <ns0:t>p03-full-002834</ns0:t>
            </ns0:r>
          </ns0:p>
        </ns0:tc>
      </ns0:tr>
      <ns0:tr>
        <ns0:tc>
          <ns0:tcPr>
            <ns0:tcW ns0:type="dxa" ns0:w="4968"/>
            <ns0:vAlign ns0:val="center"/>
          </ns0:tcPr>
          <ns0:p>
            <ns0:r>
              <ns0:t>Source ID</ns0:t>
            </ns0:r>
          </ns0:p>
        </ns0:tc>
        <ns0:tc>
          <ns0:tcPr>
            <ns0:tcW ns0:type="dxa" ns0:w="4968"/>
            <ns0:vAlign ns0:val="center"/>
          </ns0:tcPr>
          <ns0:p>
            <ns0:r>
              <ns0:t>p03-src-002834</ns0:t>
            </ns0:r>
          </ns0:p>
        </ns0:tc>
      </ns0:tr>
      <ns0:tr>
        <ns0:tc>
          <ns0:tcPr>
            <ns0:tcW ns0:type="dxa" ns0:w="4968"/>
            <ns0:vAlign ns0:val="center"/>
          </ns0:tcPr>
          <ns0:p>
            <ns0:r>
              <ns0:t>Review window</ns0:t>
            </ns0:r>
          </ns0:p>
        </ns0:tc>
        <ns0:tc>
          <ns0:tcPr>
            <ns0:tcW ns0:type="dxa" ns0:w="4968"/>
            <ns0:vAlign ns0:val="center"/>
          </ns0:tcPr>
          <ns0:p>
            <ns0:r>
              <ns0:t>2026 Q3 review period</ns0:t>
            </ns0:r>
          </ns0:p>
        </ns0:tc>
      </ns0:tr>
      <ns0:tr>
        <ns0:tc>
          <ns0:tcPr>
            <ns0:tcW ns0:type="dxa" ns0:w="4968"/>
            <ns0:vAlign ns0:val="center"/>
          </ns0:tcPr>
          <ns0:p>
            <ns0:r>
              <ns0:t>Review focus</ns0:t>
            </ns0:r>
          </ns0:p>
        </ns0:tc>
        <ns0:tc>
          <ns0:tcPr>
            <ns0:tcW ns0:type="dxa" ns0:w="4968"/>
            <ns0:vAlign ns0:val="center"/>
          </ns0:tcPr>
          <ns0:p>
            <ns0:r>
              <ns0:t>evidence linkage</ns0:t>
            </ns0:r>
          </ns0:p>
        </ns0:tc>
      </ns0:tr>
      <ns0:tr>
        <ns0:tc>
          <ns0:tcPr>
            <ns0:tcW ns0:type="dxa" ns0:w="4968"/>
            <ns0:vAlign ns0:val="center"/>
          </ns0:tcPr>
          <ns0:p>
            <ns0:r>
              <ns0:t>Control</ns0:t>
            </ns0:r>
          </ns0:p>
        </ns0:tc>
        <ns0:tc>
          <ns0:tcPr>
            <ns0:tcW ns0:type="dxa" ns0:w="4968"/>
            <ns0:vAlign ns0:val="center"/>
          </ns0:tcPr>
          <ns0:p>
            <ns0:r>
              <ns0:t>Aegis Control AC-27</ns0:t>
            </ns0:r>
          </ns0:p>
        </ns0:tc>
      </ns0:tr>
      <ns0:tr>
        <ns0:tc>
          <ns0:tcPr>
            <ns0:tcW ns0:type="dxa" ns0:w="4968"/>
            <ns0:vAlign ns0:val="center"/>
          </ns0:tcPr>
          <ns0:p>
            <ns0:r>
              <ns0:t>Evidence set</ns0:t>
            </ns0:r>
          </ns0:p>
        </ns0:tc>
        <ns0:tc>
          <ns0:tcPr>
            <ns0:tcW ns0:type="dxa" ns0:w="4968"/>
            <ns0:vAlign ns0:val="center"/>
          </ns0:tcPr>
          <ns0:p>
            <ns0:r>
              <ns0:t>184</ns0:t>
            </ns0:r>
          </ns0:p>
        </ns0:tc>
      </ns0:tr>
      <ns0:tr>
        <ns0:tc>
          <ns0:tcPr>
            <ns0:tcW ns0:type="dxa" ns0:w="4968"/>
            <ns0:vAlign ns0:val="center"/>
          </ns0:tcPr>
          <ns0:p>
            <ns0:r>
              <ns0:t>Case</ns0:t>
            </ns0:r>
          </ns0:p>
        </ns0:tc>
        <ns0:tc>
          <ns0:tcPr>
            <ns0:tcW ns0:type="dxa" ns0:w="4968"/>
            <ns0:vAlign ns0:val="center"/>
          </ns0:tcPr>
          <ns0:p>
            <ns0:r>
              <ns0:t>CASE-260713-184</ns0:t>
            </ns0:r>
          </ns0:p>
        </ns0:tc>
      </ns0:tr>
      <ns0:tr>
        <ns0:tc>
          <ns0:tcPr>
            <ns0:tcW ns0:type="dxa" ns0:w="4968"/>
            <ns0:vAlign ns0:val="center"/>
          </ns0:tcPr>
          <ns0:p>
            <ns0:r>
              <ns0:t>Risk</ns0:t>
            </ns0:r>
          </ns0:p>
        </ns0:tc>
        <ns0:tc>
          <ns0:tcPr>
            <ns0:tcW ns0:type="dxa" ns0:w="4968"/>
            <ns0:vAlign ns0:val="center"/>
          </ns0:tcPr>
          <ns0:p>
            <ns0:r>
              <ns0:t>RISK-031 (residual Medium)</ns0:t>
            </ns0:r>
          </ns0:p>
        </ns0:tc>
      </ns0:tr>
      <ns0:tr>
        <ns0:tc>
          <ns0:tcPr>
            <ns0:tcW ns0:type="dxa" ns0:w="4968"/>
            <ns0:vAlign ns0:val="center"/>
          </ns0:tcPr>
          <ns0:p>
            <ns0:r>
              <ns0:t>Population</ns0:t>
            </ns0:r>
          </ns0:p>
        </ns0:tc>
        <ns0:tc>
          <ns0:tcPr>
            <ns0:tcW ns0:type="dxa" ns0:w="4968"/>
            <ns0:vAlign ns0:val="center"/>
          </ns0:tcPr>
          <ns0:p>
            <ns0:r>
              <ns0:t>48 synthetic privileged-role records</ns0:t>
            </ns0:r>
          </ns0:p>
        </ns0:tc>
      </ns0:tr>
      <ns0:tr>
        <ns0:tc>
          <ns0:tcPr>
            <ns0:tcW ns0:type="dxa" ns0:w="4968"/>
            <ns0:vAlign ns0:val="center"/>
          </ns0:tcPr>
          <ns0:p>
            <ns0:r>
              <ns0:t>Timely evidence</ns0:t>
            </ns0:r>
          </ns0:p>
        </ns0:tc>
        <ns0:tc>
          <ns0:tcPr>
            <ns0:tcW ns0:type="dxa" ns0:w="4968"/>
            <ns0:vAlign ns0:val="center"/>
          </ns0:tcPr>
          <ns0:p>
            <ns0:r>
              <ns0:t>47 of 48 before compensating review</ns0:t>
            </ns0:r>
          </ns0:p>
        </ns0:tc>
      </ns0:tr>
      <ns0:tr>
        <ns0:tc>
          <ns0:tcPr>
            <ns0:tcW ns0:type="dxa" ns0:w="4968"/>
            <ns0:vAlign ns0:val="center"/>
          </ns0:tcPr>
          <ns0:p>
            <ns0:r>
              <ns0:t>Final completion</ns0:t>
            </ns0:r>
          </ns0:p>
        </ns0:tc>
        <ns0:tc>
          <ns0:tcPr>
            <ns0:tcW ns0:type="dxa" ns0:w="4968"/>
            <ns0:vAlign ns0:val="center"/>
          </ns0:tcPr>
          <ns0:p>
            <ns0:r>
              <ns0:t>48 of 48 after compensating review</ns0:t>
            </ns0:r>
          </ns0:p>
        </ns0:tc>
      </ns0:tr>
      <ns0:tr>
        <ns0:tc>
          <ns0:tcPr>
            <ns0:tcW ns0:type="dxa" ns0:w="4968"/>
            <ns0:vAlign ns0:val="center"/>
          </ns0:tcPr>
          <ns0:p>
            <ns0:r>
              <ns0:t>Completeness</ns0:t>
            </ns0:r>
          </ns0:p>
        </ns0:tc>
        <ns0:tc>
          <ns0:tcPr>
            <ns0:tcW ns0:type="dxa" ns0:w="4968"/>
            <ns0:vAlign ns0:val="center"/>
          </ns0:tcPr>
          <ns0:p>
            <ns0:r>
              <ns0:t>24 of 24 required synthetic items verified</ns0:t>
            </ns0:r>
          </ns0:p>
        </ns0:tc>
      </ns0:tr>
    </ns0:tbl>
    <ns0:p>
      <ns0:r>
        <ns0:rPr>
          <ns0:b/>
        </ns0:rPr>
        <ns0:t>Decision and boundary</ns0:t>
      </ns0:r>
    </ns0:p>
    <ns0:p>
      <ns0:r>
        <ns0:t>The SOC review supports defensive governance and evidence-chain handoff. No live telemetry, credentials, personal data, routable targets, or exploit guidance is included.</ns0:t>
      </ns0:r>
    </ns0:p>
    <ns0:sectPr ns0:rsidR="00FC693F" ns0:rsidRPr="0006063C" ns0:rsidSect="00034616">
      <ns0:pgSz ns0:w="12240" ns0:h="15840"/>
      <ns0:pgMar ns0:top="1008" ns0:right="1152" ns0:bottom="1008" ns0:left="1152"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