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spacing ns0:after="80"/>
      </ns0:pPr>
      <ns0:r>
        <ns0:rPr>
          <ns0:rFonts ns0:ascii="Aptos" ns0:hAnsi="Aptos"/>
          <ns0:b/>
          <ns0:color ns0:val="0F3A54"/>
          <ns0:sz ns0:val="38"/>
        </ns0:rPr>
        <ns0:t>SIEM EXPORT REVIEW</ns0:t>
      </ns0:r>
    </ns0:p>
    <ns0:p>
      <ns0:pPr>
        <ns0:spacing ns0:after="240"/>
      </ns0:pPr>
      <ns0:r>
        <ns0:rPr>
          <ns0:rFonts ns0:ascii="Aptos" ns0:hAnsi="Aptos"/>
          <ns0:b ns0:val="0"/>
          <ns0:color ns0:val="4B4B4B"/>
          <ns0:sz ns0:val="20"/>
        </ns0:rPr>
        <ns0:t>Event Category | 2026-07-20 | p03-full-008072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4896"/>
        <ns0:gridCol ns0:w="4896"/>
      </ns0:tblGrid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Control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Organization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Cobalt Harbor Systems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Own assigned review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2026-07-20</ns0:t>
            </ns0:r>
          </ns0:p>
        </ns0:tc>
      </ns0:tr>
      <ns0:tr>
        <ns0:tc>
          <ns0:tcPr>
            <ns0:tcW ns0:type="dxa" ns0:w="4896"/>
          </ns0:tcPr>
          <ns0:p>
            <ns0:r>
              <ns0:rPr>
                <ns0:rFonts ns0:ascii="Aptos" ns0:hAnsi="Aptos"/>
                <ns0:b/>
                <ns0:color ns0:val="0F3A54"/>
                <ns0:sz ns0:val="18"/>
              </ns0:rPr>
              <ns0:t>Source dependency date/period</ns0:t>
            </ns0:r>
          </ns0:p>
        </ns0:tc>
        <ns0:tc>
          <ns0:tcPr>
            <ns0:tcW ns0:type="dxa" ns0:w="4896"/>
          </ns0:tcPr>
          <ns0:p>
            <ns0:r>
              <ns0:rPr>
                <ns0:rFonts ns0:ascii="Aptos" ns0:hAnsi="Aptos"/>
                <ns0:b ns0:val="0"/>
                <ns0:sz ns0:val="18"/>
              </ns0:rPr>
              <ns0:t>2026 Q3 review period (2026-07-01 through 2026-09-30) (from p03-full-002339)</ns0:t>
            </ns0:r>
          </ns0:p>
        </ns0:tc>
      </ns0:tr>
    </ns0:tbl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Purpose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This synthetic review records the bounded event category evidence assessment for Cobalt Harbor Systems under Aegis Control AC-27.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Evidence boundary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is traceable to assigned source artifact p03-full-002339. Evidence is minimized, synthetic, and limited to governance metadata; it contains no raw event payloads, identities, credentials, customer data, or operational targets.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Review 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For 2026-07-20, reviewers confirmed that event categories are retained only when needed to support AC-27 assurance. The working evidence set is 184 and the related intake is CASE-260713-184; RISK-031 remains the documented governance context.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Control observations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The review checks category purpose, retention rationale, reviewer acknowledgement, and whether a summarized export can support an audit conclusion without exposing operational telemetry. No Kio indexing, search, replay, or performance claim is made by this artifact.</ns0:t>
      </ns0:r>
    </ns0:p>
    <ns0:p>
      <ns0:pPr>
        <ns0:spacing ns0:before="160" ns0:after="60"/>
      </ns0:pPr>
      <ns0:r>
        <ns0:rPr>
          <ns0:rFonts ns0:ascii="Aptos" ns0:hAnsi="Aptos"/>
          <ns0:b/>
          <ns0:color ns0:val="0F3A54"/>
          <ns0:sz ns0:val="22"/>
        </ns0:rPr>
        <ns0:t>Disposition</ns0:t>
      </ns0:r>
    </ns0:p>
    <ns0:p>
      <ns0:pPr>
        <ns0:spacing ns0:after="100"/>
      </ns0:pPr>
      <ns0:r>
        <ns0:rPr>
          <ns0:rFonts ns0:ascii="Aptos" ns0:hAnsi="Aptos"/>
          <ns0:b ns0:val="0"/>
          <ns0:sz ns0:val="19"/>
        </ns0:rPr>
        <ns0:t>Maintain the minimized export boundary, record the assigned dependency as supporting evidence, and route any material variance through the documented AC-27 review workflow. This fictional record does not state a production outcome.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152" ns0:right="1224" ns0:bottom="1080" ns0:left="1224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A5A5A"/>
        <w:sz w:val="16"/>
      </w:rPr>
      <w:t>Synthetic defensive governance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636E"/>
        <w:sz w:val="16"/>
      </w:rPr>
      <w:t>COBALT HARBOR SYSTEMS  |  SECURITY GOVERNANCE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SIEM Export Review p03-full-008072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