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A7B"/>
          <w:sz w:val="20"/>
        </w:rPr>
        <w:t>SAKURA CLINICAL</w:t>
      </w:r>
    </w:p>
    <w:p>
      <w:pPr>
        <w:jc w:val="center"/>
      </w:pPr>
      <w:r>
        <w:rPr>
          <w:b/>
          <w:color w:val="17324D"/>
          <w:sz w:val="42"/>
        </w:rPr>
        <w:t>Alpha Synthetic Casebook: 48-Cohort Snapshot</w:t>
      </w:r>
    </w:p>
    <w:p>
      <w:pPr>
        <w:jc w:val="center"/>
      </w:pPr>
      <w:r>
        <w:rPr>
          <w:color w:val="5B6770"/>
        </w:rPr>
        <w:t>Casebook seed artifact | Research operations review</w:t>
      </w:r>
    </w:p>
    <w:p>
      <w:pPr>
        <w:jc w:val="center"/>
      </w:pPr>
      <w:r>
        <w:rPr>
          <w:color w:val="5B6770"/>
          <w:sz w:val="16"/>
        </w:rPr>
        <w:t>Sakura Clinical | Study Alpha 2026 | Snapshot: 2026-09-02 | Fully synthetic training material</w:t>
      </w:r>
    </w:p>
    <w:p>
      <w:r>
        <w:rPr>
          <w:b/>
          <w:color w:val="17324D"/>
          <w:sz w:val="26"/>
        </w:rPr>
        <w:t>Purpose and safeguards</w:t>
      </w:r>
    </w:p>
    <w:p>
      <w:pPr>
        <w:spacing w:after="100"/>
      </w:pPr>
      <w:r>
        <w:rPr>
          <w:sz w:val="20"/>
        </w:rPr>
        <w:t>Study Alpha is a fully synthetic research-operations dataset. The 48-person cohort is represented by identifiers ALPHA-SYN-001 through ALPHA-SYN-048. No entries refer to real individuals, medical records, institutions, or care decisions.</w:t>
      </w:r>
    </w:p>
    <w:p>
      <w:r>
        <w:rPr>
          <w:b/>
          <w:color w:val="17324D"/>
          <w:sz w:val="26"/>
        </w:rPr>
        <w:t>Snapshot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SC-A 2.5 mg</w:t>
            </w:r>
          </w:p>
        </w:tc>
        <w:tc>
          <w:tcPr>
            <w:tcW w:type="dxa" w:w="288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Matched control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Cohort size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Day-28 mean change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-4.8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-2.1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Adjusted difference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-2.7 (95% CI -4.1 to -1.3)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Reference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Serious adverse events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rPr>
          <w:b/>
          <w:color w:val="17324D"/>
          <w:sz w:val="26"/>
        </w:rPr>
        <w:t>Safety synthesis</w:t>
      </w:r>
    </w:p>
    <w:p>
      <w:pPr>
        <w:spacing w:after="100"/>
      </w:pPr>
      <w:r>
        <w:rPr>
          <w:sz w:val="20"/>
        </w:rPr>
        <w:t>Seven non-serious synthetic adverse events were recorded across six participants; all were resolved or resolving at review. No serious adverse events were recorded. This summary is descriptive training content only.</w:t>
      </w:r>
    </w:p>
    <w:p>
      <w:r>
        <w:rPr>
          <w:b/>
          <w:color w:val="17324D"/>
          <w:sz w:val="26"/>
        </w:rPr>
        <w:t>Case index excerpt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Synthetic ID</w:t>
            </w:r>
          </w:p>
        </w:tc>
        <w:tc>
          <w:tcPr>
            <w:tcW w:type="dxa" w:w="216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216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Case artifact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ALPHA-SYN-001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ALPHA-SYN-002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ALPHA-SYN-003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alpha-case-003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ALPHA-SYN-004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ALPHA-SYN-005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ALPHA-SYN-006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ALPHA-SYN-007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alpha-case-007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ALPHA-SYN-008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alpha-case-008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ALPHA-SYN-009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alpha-case-009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ALPHA-SYN-010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alpha-case-010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ALPHA-SYN-011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alpha-case-011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ALPHA-SYN-012</w:t>
            </w:r>
          </w:p>
        </w:tc>
        <w:tc>
          <w:tcPr>
            <w:tcW w:type="dxa" w:w="2160"/>
            <w:vAlign w:val="center"/>
          </w:tcPr>
          <w:p>
            <w:r>
              <w:t>SC-A 2.5 mg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Day-28 reviewed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alpha-case-012</w:t>
            </w:r>
          </w:p>
        </w:tc>
      </w:tr>
    </w:tbl>
    <w:p/>
    <w:p>
      <w:r>
        <w:rPr>
          <w:b/>
          <w:color w:val="17324D"/>
          <w:sz w:val="26"/>
        </w:rPr>
        <w:t>Interpretation boundary</w:t>
      </w:r>
    </w:p>
    <w:p>
      <w:pPr>
        <w:spacing w:after="100"/>
      </w:pPr>
      <w:r>
        <w:rPr>
          <w:sz w:val="20"/>
        </w:rPr>
        <w:t>The 2.5 mg reference is a protocol review threshold within this synthetic scenario. It must not be interpreted as clinical advice, an efficacy claim for any real product, or a recommendation for any person.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research record - not clinical advice - no real PHI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