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7A7B"/>
          <w:sz w:val="20"/>
        </w:rPr>
        <w:t>SAKURA CLINICAL</w:t>
      </w:r>
    </w:p>
    <w:p>
      <w:pPr>
        <w:jc w:val="center"/>
      </w:pPr>
      <w:r>
        <w:rPr>
          <w:b/>
          <w:color w:val="17324D"/>
          <w:sz w:val="42"/>
        </w:rPr>
        <w:t>Case Closeout Summary: ALPHA-SYN-048</w:t>
      </w:r>
    </w:p>
    <w:p>
      <w:pPr>
        <w:jc w:val="center"/>
      </w:pPr>
      <w:r>
        <w:rPr>
          <w:color w:val="5B6770"/>
        </w:rPr>
        <w:t>Synthetic closeout summary</w:t>
      </w:r>
    </w:p>
    <w:p>
      <w:pPr>
        <w:jc w:val="center"/>
      </w:pPr>
      <w:r>
        <w:rPr>
          <w:color w:val="5B6770"/>
          <w:sz w:val="16"/>
        </w:rPr>
        <w:t>Sakura Clinical | Study Alpha 2026 | Snapshot: 2026-09-02 | Fully synthetic training material</w:t>
      </w:r>
    </w:p>
    <w:p>
      <w:r>
        <w:rPr>
          <w:b/>
          <w:color w:val="17324D"/>
          <w:sz w:val="26"/>
        </w:rPr>
        <w:t>Closeout 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432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Subject 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ALPHA-SYN-048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Arm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Matched control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Day-28 record</w:t>
            </w:r>
          </w:p>
        </w:tc>
        <w:tc>
          <w:tcPr>
            <w:tcW w:type="dxa" w:w="4320"/>
            <w:vAlign w:val="center"/>
          </w:tcPr>
          <w:p>
            <w:r>
              <w:t>Complete; change from baseline: -2.5 units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Safety review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No AE recorded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Queries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None open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Closeout status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Synthetic record complete</w:t>
            </w:r>
          </w:p>
        </w:tc>
      </w:tr>
    </w:tbl>
    <w:p/>
    <w:p>
      <w:r>
        <w:rPr>
          <w:b/>
          <w:color w:val="17324D"/>
          <w:sz w:val="26"/>
        </w:rPr>
        <w:t>Reviewer statement</w:t>
      </w:r>
    </w:p>
    <w:p>
      <w:pPr>
        <w:spacing w:after="100"/>
      </w:pPr>
      <w:r>
        <w:rPr>
          <w:sz w:val="20"/>
        </w:rPr>
        <w:t>All planned synthetic source references for this record were reconciled to the Study Alpha 2026 snapshot. This document records workflow closure only; it does not describe or guide clinical treatment.</w:t>
      </w:r>
    </w:p>
    <w:p>
      <w:r>
        <w:rPr>
          <w:b/>
          <w:color w:val="17324D"/>
          <w:sz w:val="26"/>
        </w:rPr>
        <w:t>Cohort-level context</w:t>
      </w:r>
    </w:p>
    <w:p>
      <w:pPr>
        <w:spacing w:after="100"/>
      </w:pPr>
      <w:r>
        <w:rPr>
          <w:sz w:val="20"/>
        </w:rPr>
        <w:t>Across the synthetic cohort of 48, the Day-28 mean change was -4.8 for SC-A 2.5 mg and -2.1 for matched control, with an adjusted difference of -2.7 (95% CI -4.1 to -1.3). Seven non-serious synthetic adverse events occurred across six participants; zero SAEs were recorded.</w:t>
      </w:r>
    </w:p>
    <w:sectPr w:rsidR="00FC693F" w:rsidRPr="0006063C" w:rsidSect="00034616">
      <w:footerReference w:type="default" r:id="rId9"/>
      <w:pgSz w:w="12240" w:h="15840"/>
      <w:pgMar w:top="936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research record - not clinical advice - no real PHI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