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F4E63"/>
          <w:sz w:val="20"/>
        </w:rPr>
        <w:t>SAKURA CLINICAL STUDY BETA 2026</w:t>
      </w:r>
    </w:p>
    <w:p>
      <w:pPr>
        <w:spacing w:after="200"/>
      </w:pPr>
      <w:r>
        <w:rPr>
          <w:rFonts w:ascii="Calibri" w:hAnsi="Calibri"/>
          <w:b/>
          <w:color w:val="17324D"/>
          <w:sz w:val="40"/>
        </w:rPr>
        <w:t>Closeout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2"/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Synthetic case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BETA-SYN-036</w:t>
            </w:r>
          </w:p>
        </w:tc>
      </w:tr>
      <w:tr>
        <w:tc>
          <w:tcPr>
            <w:tcW w:type="dxa" w:w="4968"/>
            <w:shd w:fill="E8EEF2"/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Cohort / allocation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Exploratory cohort of 36 | 18/18</w:t>
            </w:r>
          </w:p>
        </w:tc>
      </w:tr>
      <w:tr>
        <w:tc>
          <w:tcPr>
            <w:tcW w:type="dxa" w:w="4968"/>
            <w:shd w:fill="E8EEF2"/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Document status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Closeout review</w:t>
            </w:r>
          </w:p>
        </w:tc>
      </w:tr>
    </w:tbl>
    <w:p>
      <w:pPr>
        <w:pStyle w:val="Heading1"/>
      </w:pPr>
      <w:r>
        <w:t>Narrative summary</w:t>
      </w:r>
    </w:p>
    <w:p>
      <w:pPr>
        <w:spacing w:after="120"/>
      </w:pPr>
      <w:r>
        <w:rPr>
          <w:rFonts w:ascii="Calibri" w:hAnsi="Calibri"/>
          <w:b w:val="0"/>
          <w:sz w:val="22"/>
        </w:rPr>
        <w:t>This fictional closeout summary records an exploratory reconciliation of a synthetic case. No clinical outcome conclusion is drawn.</w:t>
      </w:r>
    </w:p>
    <w:p>
      <w:pPr>
        <w:pStyle w:val="Heading1"/>
      </w:pPr>
      <w:r>
        <w:t>Observed source cues</w:t>
      </w:r>
    </w:p>
    <w:p>
      <w:pPr>
        <w:pStyle w:val="ListBullet"/>
        <w:spacing w:after="120"/>
      </w:pPr>
      <w:r>
        <w:rPr>
          <w:rFonts w:ascii="Calibri" w:hAnsi="Calibri"/>
          <w:b w:val="0"/>
          <w:sz w:val="22"/>
        </w:rPr>
        <w:t>Checklist supports a completed source-path review.</w:t>
      </w:r>
    </w:p>
    <w:p>
      <w:pPr>
        <w:pStyle w:val="Heading1"/>
      </w:pPr>
      <w:r>
        <w:t>Reviewer disposition</w:t>
      </w:r>
    </w:p>
    <w:p>
      <w:pPr>
        <w:spacing w:after="120"/>
      </w:pPr>
      <w:r>
        <w:rPr>
          <w:rFonts w:ascii="Calibri" w:hAnsi="Calibri"/>
          <w:b w:val="0"/>
          <w:sz w:val="22"/>
        </w:rPr>
        <w:t>Close the synthetic training example after routine reviewer sign-off.</w:t>
      </w:r>
    </w:p>
    <w:p>
      <w:pPr>
        <w:spacing w:before="240"/>
      </w:pPr>
      <w:r>
        <w:rPr>
          <w:rFonts w:ascii="Calibri" w:hAnsi="Calibri"/>
          <w:b w:val="0"/>
          <w:color w:val="59656F"/>
          <w:sz w:val="18"/>
        </w:rPr>
        <w:t>Synthetic training material only. This exploratory record is not confirmatory and is not medical advice.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