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4E79"/>
          <w:sz w:val="46"/>
        </w:rPr>
        <w:t>Alpha Analysis Notes</w:t>
      </w:r>
    </w:p>
    <w:p>
      <w:pPr>
        <w:spacing w:after="280"/>
      </w:pPr>
      <w:r>
        <w:rPr>
          <w:color w:val="505050"/>
          <w:sz w:val="26"/>
        </w:rPr>
        <w:t>Sakura Clinical Study Alpha 2026 | Synthetic cohort review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Snapshot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2026-09-02</w:t>
            </w:r>
          </w:p>
        </w:tc>
      </w:tr>
      <w:t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Population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Synthetic cohort 48</w:t>
            </w:r>
          </w:p>
        </w:tc>
      </w:tr>
      <w:t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Decision threshold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2.5 mg</w:t>
            </w:r>
          </w:p>
        </w:tc>
      </w:tr>
      <w:t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Endpoint and safety review</w:t>
            </w:r>
          </w:p>
        </w:tc>
      </w:tr>
    </w:tbl>
    <w:p/>
    <w:p>
      <w:pPr>
        <w:pStyle w:val="Heading1"/>
      </w:pPr>
      <w:r>
        <w:t>Readout framing</w:t>
      </w:r>
    </w:p>
    <w:p>
      <w:r>
        <w:t>This note records a wholly synthetic planning readout for Sakura Clinical Study Alpha 2026. It is not a clinical record, does not identify people or sites, and is intended only to keep the analysis, endpoint, and safety discussion aligned for the 2026-09-02 snapshot.</w:t>
      </w:r>
    </w:p>
    <w:p>
      <w:pPr>
        <w:pStyle w:val="Heading2"/>
      </w:pPr>
      <w:r>
        <w:t>Endpoint signal</w:t>
      </w:r>
    </w:p>
    <w:p>
      <w:r>
        <w:t>The parent endpoint spine is retained as a threshold-based comparison at 2.5 mg. For the synthetic cohort of 48, the working interpretation is directional: document whether the endpoint review package supports continued analysis, without treating the materials as patient-level evidence.</w:t>
      </w:r>
    </w:p>
    <w:p>
      <w:pPr>
        <w:pStyle w:val="ListBullet"/>
        <w:spacing w:after="80"/>
      </w:pPr>
      <w:r>
        <w:t>Cohort accounting: 48 synthetic records are represented in the review frame.</w:t>
      </w:r>
    </w:p>
    <w:p>
      <w:pPr>
        <w:pStyle w:val="ListBullet"/>
        <w:spacing w:after="80"/>
      </w:pPr>
      <w:r>
        <w:t>Threshold: 2.5 mg remains the pre-specified discussion point for the synthetic analysis.</w:t>
      </w:r>
    </w:p>
    <w:p>
      <w:pPr>
        <w:pStyle w:val="ListBullet"/>
        <w:spacing w:after="80"/>
      </w:pPr>
      <w:r>
        <w:t>Endpoint status: review-ready; no efficacy claim is made in this workspace artifact.</w:t>
      </w:r>
    </w:p>
    <w:p>
      <w:pPr>
        <w:pStyle w:val="Heading2"/>
      </w:pPr>
      <w:r>
        <w:t>Safety review</w:t>
      </w:r>
    </w:p>
    <w:p>
      <w:r>
        <w:t>Safety discussion is organized around completeness, signal triage, and follow-up readiness. The synthetic source set contains no real adverse-event narratives, laboratory results, clinician identifiers, or personal health information.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Review area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Synthetic status</w:t>
            </w:r>
          </w:p>
        </w:tc>
        <w:tc>
          <w:tcPr>
            <w:tcW w:type="dxa" w:w="4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Next action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Record completeness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48/48 planning entries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Confirm traceability in review packet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Threshold check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2.5 mg reference retained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Discuss endpoint interpretation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Safety triage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real cases included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Keep synthetic-only disclaimer visible</w:t>
            </w:r>
          </w:p>
        </w:tc>
      </w:tr>
    </w:tbl>
    <w:p>
      <w:pPr>
        <w:pStyle w:val="Heading1"/>
      </w:pPr>
      <w:r>
        <w:t>Steering discussion prompts</w:t>
      </w:r>
    </w:p>
    <w:p>
      <w:pPr>
        <w:pStyle w:val="ListBullet"/>
        <w:spacing w:after="80"/>
      </w:pPr>
      <w:r>
        <w:t>Confirm that the 2.5 mg threshold remains the shared reference point for the endpoint review.</w:t>
      </w:r>
    </w:p>
    <w:p>
      <w:pPr>
        <w:pStyle w:val="ListBullet"/>
        <w:spacing w:after="80"/>
      </w:pPr>
      <w:r>
        <w:t>Confirm that the safety packet is explicitly synthetic and is not used for clinical decision-making.</w:t>
      </w:r>
    </w:p>
    <w:p>
      <w:pPr>
        <w:pStyle w:val="ListBullet"/>
        <w:spacing w:after="80"/>
      </w:pPr>
      <w:r>
        <w:t>Assign a documentation owner for the next synthetic snapshot and review agenda.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Internal synthetic study material | Snapshot 2026-09-02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SAKURA CLINICAL | STUDY ALPHA 2026 |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Alpha Analysis Notes - Synthetic</dc:title>
  <dc:subject>Sakura Clinical Study Alpha 2026 synthetic cohort 48</dc:subject>
  <dc:creator>Sakura Clinical Synthetic Research Workspace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