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20"/>
        </w:rPr>
        <w:t>SAKURA CLINICAL | SYNTHETIC REVIEW PACK</w:t>
      </w:r>
    </w:p>
    <w:p>
      <w:pPr>
        <w:spacing w:after="120"/>
      </w:pPr>
      <w:r>
        <w:rPr>
          <w:rFonts w:ascii="Calibri" w:hAnsi="Calibri"/>
          <w:b/>
          <w:color w:val="1F2937"/>
          <w:sz w:val="40"/>
        </w:rPr>
        <w:t>Study Alpha 2026 - Today's Protocol and Safety Review</w:t>
      </w:r>
    </w:p>
    <w:p>
      <w:pPr>
        <w:spacing w:after="200"/>
      </w:pPr>
      <w:r>
        <w:t>Prepared for the 2026-09-02 working session. All records, labels, and outcomes in this pack are synthetic training material.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Snapshot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2026-09-02</w:t>
            </w:r>
          </w:p>
        </w:tc>
        <w:tc>
          <w:tcPr>
            <w:tcW w:type="dxa" w:w="2484"/>
            <w:shd w:fill="DCE6F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Cohort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48 synthetic records</w:t>
            </w:r>
          </w:p>
        </w:tc>
      </w:tr>
      <w:tr>
        <w:tc>
          <w:tcPr>
            <w:tcW w:type="dxa" w:w="2484"/>
            <w:shd w:fill="DCE6F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Review threshold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2.5 mg</w:t>
            </w:r>
          </w:p>
        </w:tc>
        <w:tc>
          <w:tcPr>
            <w:tcW w:type="dxa" w:w="2484"/>
            <w:shd w:fill="DCE6F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Decision state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Working review</w:t>
            </w:r>
          </w:p>
        </w:tc>
      </w:tr>
    </w:tbl>
    <w:p/>
    <w:p>
      <w:pPr>
        <w:pStyle w:val="Heading1"/>
      </w:pPr>
      <w:r>
        <w:t>Review objective</w:t>
      </w:r>
    </w:p>
    <w:p>
      <w:r>
        <w:t>Confirm that the Alpha endpoint review, dose-threshold checks, and synthetic safety queue are aligned before the daily quality-control handoff. This packet supports discussion; it is not a clinical decision record and contains no real participant information.</w:t>
      </w:r>
    </w:p>
    <w:p>
      <w:pPr>
        <w:pStyle w:val="Heading2"/>
      </w:pPr>
      <w:r>
        <w:t>Decision prompts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Verify the 2.5 mg protocol review threshold is applied consistently in the synthetic cohort summaries.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Confirm endpoint evidence is ready for the next internal review checkpoint.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Assign owners and due dates for the three synthetic safety follow-ups shown on the working board.</w:t>
      </w:r>
    </w:p>
    <w:p>
      <w:pPr>
        <w:pStyle w:val="Heading2"/>
      </w:pPr>
      <w:r>
        <w:t>Agenda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09:00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Anchor and cohort check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Shared context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09:10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Endpoint review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Readiness notes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09:25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Safety follow-up queue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Owners and dates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09:40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Close and handoff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Updated worklist</w:t>
            </w:r>
          </w:p>
        </w:tc>
      </w:tr>
    </w:tbl>
    <w:p>
      <w:r>
        <w:br w:type="page"/>
      </w:r>
    </w:p>
    <w:p>
      <w:pPr>
        <w:pStyle w:val="Heading1"/>
      </w:pPr>
      <w:r>
        <w:t>Working review notes</w:t>
      </w:r>
    </w:p>
    <w:p>
      <w:r>
        <w:t>Endpoint spine: the Study Alpha endpoint review remains on track for the scheduled internal readout. The current workspace uses a cohort of 48 synthetic records only.</w:t>
      </w:r>
    </w:p>
    <w:p>
      <w:pPr>
        <w:pStyle w:val="Heading2"/>
      </w:pPr>
      <w:r>
        <w:t>Safety spine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Queue item</w:t>
            </w:r>
          </w:p>
        </w:tc>
        <w:tc>
          <w:tcPr>
            <w:tcW w:type="dxa" w:w="2484"/>
            <w:shd w:fill="1F4E79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2484"/>
            <w:shd w:fill="1F4E79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84"/>
            <w:shd w:fill="1F4E79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Next check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AE-SYN-014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Clarify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Safety reviewer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2026-09-03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AE-SYN-022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Confirm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Data reviewer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2026-09-03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AE-SYN-031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Document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Protocol lead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2026-09-04</w:t>
            </w:r>
          </w:p>
        </w:tc>
      </w:tr>
    </w:tbl>
    <w:p>
      <w:pPr>
        <w:pStyle w:val="Heading2"/>
      </w:pPr>
      <w:r>
        <w:t>Closeout checklist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Record the agreed threshold statement in the worklist.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Update the query board with a single accountable role per open item.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Export only synthetic, aggregate review material from the VDI workspace.</w:t>
      </w:r>
    </w:p>
    <w:p>
      <w:r>
        <w:rPr>
          <w:i/>
          <w:color w:val="595959"/>
        </w:rPr>
        <w:t>Synthetic training environment. No PHI, credentials, or real clinical-system data are included.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