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Sakura Clinical Study Alpha 2026</w:t>
      </w:r>
    </w:p>
    <w:p>
      <w:r>
        <w:rPr>
          <w:color w:val="52687D"/>
          <w:sz w:val="20"/>
        </w:rPr>
        <w:t>Reference Sheet | Synthetic cohort 48 | 2026-09-02</w:t>
      </w:r>
    </w:p>
    <w:p>
      <w:pPr>
        <w:spacing w:before="240" w:after="120"/>
      </w:pPr>
      <w:r>
        <w:rPr>
          <w:b/>
          <w:color w:val="2E74B5"/>
          <w:sz w:val="26"/>
        </w:rPr>
        <w:t>Reference intent</w:t>
      </w:r>
    </w:p>
    <w:p>
      <w:r>
        <w:t>A compact local reference for fictional Study Alpha materials. It records shared terminology and review anchors only. It is not medical advice and contains no patient, clinician, or site information.</w:t>
      </w:r>
    </w:p>
    <w:p>
      <w:pPr>
        <w:spacing w:before="240" w:after="120"/>
      </w:pPr>
      <w:r>
        <w:rPr>
          <w:b/>
          <w:color w:val="2E74B5"/>
          <w:sz w:val="26"/>
        </w:rPr>
        <w:t>Fixed anchors</w:t>
      </w:r>
    </w:p>
    <w:p>
      <w:r>
        <w:t>The reference set is anchored to a synthetic cohort of 48 aggregate records and a study-reference threshold of 2.5 mg.</w:t>
      </w:r>
    </w:p>
    <w:p>
      <w:pPr>
        <w:spacing w:before="240" w:after="120"/>
      </w:pPr>
      <w:r>
        <w:rPr>
          <w:b/>
          <w:color w:val="2E74B5"/>
          <w:sz w:val="26"/>
        </w:rPr>
        <w:t>Review checklist</w:t>
      </w:r>
    </w:p>
    <w:p>
      <w:r>
        <w:t>Confirm the study label, confirm the date, confirm the aggregate cohort count, and use only fictional document identifiers.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968"/>
            <w:vAlign w:val="center"/>
            <w:shd w:fill="0B2545"/>
          </w:tcPr>
          <w:p>
            <w:r>
              <w:rPr>
                <w:b/>
                <w:color w:val="FFFFFF"/>
              </w:rPr>
              <w:t>Reference field</w:t>
            </w:r>
          </w:p>
        </w:tc>
        <w:tc>
          <w:tcPr>
            <w:tcW w:type="dxa" w:w="4968"/>
            <w:vAlign w:val="center"/>
            <w:shd w:fill="0B2545"/>
          </w:tcPr>
          <w:p>
            <w:r>
              <w:rPr>
                <w:b/>
                <w:color w:val="FFFFFF"/>
              </w:rPr>
              <w:t>Synthetic value</w:t>
            </w:r>
          </w:p>
        </w:tc>
      </w:tr>
      <w:tr>
        <w:tc>
          <w:tcPr>
            <w:tcW w:type="dxa" w:w="2592"/>
            <w:vAlign w:val="center"/>
          </w:tcPr>
          <w:p>
            <w:r>
              <w:t>Organization</w:t>
            </w:r>
          </w:p>
        </w:tc>
        <w:tc>
          <w:tcPr>
            <w:tcW w:type="dxa" w:w="6768"/>
            <w:vAlign w:val="center"/>
          </w:tcPr>
          <w:p>
            <w:r>
              <w:t>Sakura Clinical</w:t>
            </w:r>
          </w:p>
        </w:tc>
      </w:tr>
      <w:tr>
        <w:tc>
          <w:tcPr>
            <w:tcW w:type="dxa" w:w="2592"/>
            <w:vAlign w:val="center"/>
          </w:tcPr>
          <w:p>
            <w:r>
              <w:t>Study</w:t>
            </w:r>
          </w:p>
        </w:tc>
        <w:tc>
          <w:tcPr>
            <w:tcW w:type="dxa" w:w="6768"/>
            <w:vAlign w:val="center"/>
          </w:tcPr>
          <w:p>
            <w:r>
              <w:t>Study Alpha 2026</w:t>
            </w:r>
          </w:p>
        </w:tc>
      </w:tr>
      <w:tr>
        <w:tc>
          <w:tcPr>
            <w:tcW w:type="dxa" w:w="2592"/>
            <w:vAlign w:val="center"/>
          </w:tcPr>
          <w:p>
            <w:r>
              <w:t>Reference date</w:t>
            </w:r>
          </w:p>
        </w:tc>
        <w:tc>
          <w:tcPr>
            <w:tcW w:type="dxa" w:w="6768"/>
            <w:vAlign w:val="center"/>
          </w:tcPr>
          <w:p>
            <w:r>
              <w:t>2026-09-02</w:t>
            </w:r>
          </w:p>
        </w:tc>
      </w:tr>
      <w:tr>
        <w:tc>
          <w:tcPr>
            <w:tcW w:type="dxa" w:w="2592"/>
            <w:vAlign w:val="center"/>
          </w:tcPr>
          <w:p>
            <w:r>
              <w:t>Cohort</w:t>
            </w:r>
          </w:p>
        </w:tc>
        <w:tc>
          <w:tcPr>
            <w:tcW w:type="dxa" w:w="6768"/>
            <w:vAlign w:val="center"/>
          </w:tcPr>
          <w:p>
            <w:r>
              <w:t>48 synthetic aggregate records</w:t>
            </w:r>
          </w:p>
        </w:tc>
      </w:tr>
      <w:tr>
        <w:tc>
          <w:tcPr>
            <w:tcW w:type="dxa" w:w="2592"/>
            <w:vAlign w:val="center"/>
          </w:tcPr>
          <w:p>
            <w:r>
              <w:t>Threshold</w:t>
            </w:r>
          </w:p>
        </w:tc>
        <w:tc>
          <w:tcPr>
            <w:tcW w:type="dxa" w:w="6768"/>
            <w:vAlign w:val="center"/>
          </w:tcPr>
          <w:p>
            <w:r>
              <w:t>2.5 mg (reference only)</w:t>
            </w:r>
          </w:p>
        </w:tc>
      </w:tr>
      <w:tr>
        <w:tc>
          <w:tcPr>
            <w:tcW w:type="dxa" w:w="2592"/>
            <w:vAlign w:val="center"/>
          </w:tcPr>
          <w:p>
            <w:r>
              <w:t>Classification</w:t>
            </w:r>
          </w:p>
        </w:tc>
        <w:tc>
          <w:tcPr>
            <w:tcW w:type="dxa" w:w="6768"/>
            <w:vAlign w:val="center"/>
          </w:tcPr>
          <w:p>
            <w:r>
              <w:t>Internal fictional training material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87D"/>
        <w:sz w:val="16"/>
      </w:rPr>
      <w:t>Synthetic reference only | Sakura Clinical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Alpha Reference Sheet</dc:title>
  <dc:subject/>
  <dc:creator>Sakura Clinical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