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33B5C"/>
          <w:sz w:val="40"/>
        </w:rPr>
        <w:t>Draft Query Response - Study Alpha 2026</w:t>
      </w:r>
    </w:p>
    <w:p>
      <w:r>
        <w:rPr>
          <w:i/>
          <w:color w:val="5F6B73"/>
        </w:rPr>
        <w:t>Sakura Clinical | Snapshot 2026-09-02 | Synthetic cohort 48 | Threshold 2.5 mg</w:t>
      </w:r>
    </w:p>
    <w:p>
      <w:pPr>
        <w:pStyle w:val="Heading1"/>
        <w:spacing w:before="240" w:after="120"/>
      </w:pPr>
      <w:r>
        <w:t>Purpose</w:t>
      </w:r>
    </w:p>
    <w:p>
      <w:r>
        <w:t>Draft response for internal review of a fictional monitoring query. This document contains no participant data and is not a clinical record.</w:t>
      </w:r>
    </w:p>
    <w:p>
      <w:pPr>
        <w:pStyle w:val="Heading1"/>
        <w:spacing w:before="240" w:after="120"/>
      </w:pPr>
      <w:r>
        <w:t>Response draft</w:t>
      </w:r>
    </w:p>
    <w:p>
      <w:r>
        <w:t>Thank you for the clarification request. For the Study Alpha 2026 synthetic workflow, the 2.5 mg review threshold was applied consistently to the aggregate training summary for the 2026-09-02 snapshot. The cohort count remains 48 synthetic records.</w:t>
      </w:r>
    </w:p>
    <w:p>
      <w:pPr>
        <w:pStyle w:val="Heading1"/>
        <w:spacing w:before="240" w:after="120"/>
      </w:pPr>
      <w:r>
        <w:t>Documentation check</w:t>
      </w:r>
    </w:p>
    <w:p>
      <w:r>
        <w:t>The research team reviewed the non-identifying training documentation and confirmed that the review routing note and aggregate threshold reference are aligned. No participant-level material, source data, or regulated submission content is attached to this draft.</w:t>
      </w:r>
    </w:p>
    <w:p>
      <w:pPr>
        <w:pStyle w:val="Heading1"/>
        <w:spacing w:before="240" w:after="120"/>
      </w:pPr>
      <w:r>
        <w:t>Requested next step</w:t>
      </w:r>
    </w:p>
    <w:p>
      <w:r>
        <w:t>Please confirm whether a concise monitoring closeout note is sufficient, or whether the fictional coordinator queue requires an additional internal acknowledgement.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sz w:val="20"/>
              </w:rPr>
              <w:t>Draft owner</w:t>
            </w:r>
          </w:p>
        </w:tc>
        <w:tc>
          <w:tcPr>
            <w:tcW w:type="dxa" w:w="4680"/>
            <w:vAlign w:val="center"/>
          </w:tcPr>
          <w:p>
            <w:r>
              <w:rPr>
                <w:sz w:val="20"/>
              </w:rPr>
              <w:t>Clinical Research Team (fictional)</w:t>
            </w:r>
          </w:p>
        </w:tc>
      </w:tr>
    </w:tbl>
    <w:p>
      <w:r>
        <w:rPr>
          <w:b/>
        </w:rPr>
        <w:t>Status: Draft for synthetic training workflow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Query Response - Study Alpha 2026</dc:title>
  <dc:subject/>
  <dc:creator>Sakura Clinical Synthetic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