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17365D"/>
          <w:sz w:val="40"/>
        </w:rPr>
        <w:t>Response to Training Questions</w:t>
      </w:r>
    </w:p>
    <w:p>
      <w:pPr>
        <w:spacing w:after="240"/>
      </w:pPr>
      <w:r>
        <w:rPr>
          <w:rFonts w:ascii="Arial" w:hAnsi="Arial"/>
          <w:b w:val="0"/>
          <w:color w:val="5B6573"/>
          <w:sz w:val="20"/>
        </w:rPr>
        <w:t>Study Alpha 2026 • fictitious review correspondence • 2026-09-02</w:t>
      </w:r>
    </w:p>
    <w:p>
      <w:r>
        <w:t>This response is a wholly synthetic exercise for document-handling training. It is not a response to a real regulator or ethics body.</w:t>
      </w:r>
    </w:p>
    <w:p>
      <w:pPr>
        <w:pStyle w:val="Heading1"/>
      </w:pPr>
      <w:r>
        <w:t>Question 01 | Cohort composition</w:t>
      </w:r>
    </w:p>
    <w:p>
      <w:pPr>
        <w:pStyle w:val="IntenseQuote"/>
      </w:pPr>
      <w:r>
        <w:t>Please state the analysis cohort and allocation used in the packet.</w:t>
      </w:r>
    </w:p>
    <w:p>
      <w:r>
        <w:t>The synthetic snapshot contains 48 records: 24 assigned to SC-A 2.5 mg and 24 to matched control. No record corresponds to a real person.</w:t>
      </w:r>
    </w:p>
    <w:p>
      <w:pPr>
        <w:pStyle w:val="Heading1"/>
      </w:pPr>
      <w:r>
        <w:t>Question 02 | Primary endpoint</w:t>
      </w:r>
    </w:p>
    <w:p>
      <w:pPr>
        <w:pStyle w:val="IntenseQuote"/>
      </w:pPr>
      <w:r>
        <w:t>Clarify the Day-28 endpoint result presented in the benefit-risk summary.</w:t>
      </w:r>
    </w:p>
    <w:p>
      <w:r>
        <w:t>The synthetic symptom-index mean change was -4.8 for SC-A 2.5 mg and -2.1 for matched control; the adjusted difference was -2.7 (95% CI -4.1 to -1.3). These figures are training data only.</w:t>
      </w:r>
    </w:p>
    <w:p>
      <w:pPr>
        <w:pStyle w:val="Heading1"/>
      </w:pPr>
      <w:r>
        <w:t>Question 03 | Safety context</w:t>
      </w:r>
    </w:p>
    <w:p>
      <w:pPr>
        <w:pStyle w:val="IntenseQuote"/>
      </w:pPr>
      <w:r>
        <w:t>Summarize the safety observations in the synthetic snapshot.</w:t>
      </w:r>
    </w:p>
    <w:p>
      <w:r>
        <w:t>Seven non-serious synthetic adverse events were distributed across six synthetic participants. There were zero synthetic serious adverse events. This is an invented training dataset, not a safety conclusion.</w:t>
      </w:r>
    </w:p>
    <w:p>
      <w:pPr>
        <w:pStyle w:val="Heading1"/>
      </w:pPr>
      <w:r>
        <w:t>Question 04 | Threshold interpretation</w:t>
      </w:r>
    </w:p>
    <w:p>
      <w:pPr>
        <w:pStyle w:val="IntenseQuote"/>
      </w:pPr>
      <w:r>
        <w:t>How should the 2.5 mg value be interpreted?</w:t>
      </w:r>
    </w:p>
    <w:p>
      <w:r>
        <w:t>It is a protocol-defined review threshold within this fictional packet. It is not clinical advice, a prescribing statement, or an efficacy or safety recommendation.</w:t>
      </w:r>
    </w:p>
    <w:p>
      <w:pPr>
        <w:pStyle w:val="Heading1"/>
      </w:pPr>
      <w:r>
        <w:t>Closing statement</w:t>
      </w:r>
    </w:p>
    <w:p>
      <w:r>
        <w:t>Sakura Clinical requests no action. This packet is retained solely as a synthetic training artifact.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B6573"/>
        <w:sz w:val="16"/>
      </w:rPr>
      <w:t>Study Alpha 2026  •  Snapshot 2026-09-02  •  Fictional training content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B6573"/>
        <w:sz w:val="16"/>
      </w:rPr>
      <w:t>SAKURA CLINICAL  |  SYNTHETIC TRAINING/SUBMISSION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