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17365D"/>
          <w:sz w:val="40"/>
        </w:rPr>
        <w:t>Synthetic Dataset Description</w:t>
      </w:r>
    </w:p>
    <w:p>
      <w:pPr>
        <w:spacing w:after="240"/>
      </w:pPr>
      <w:r>
        <w:rPr>
          <w:rFonts w:ascii="Arial" w:hAnsi="Arial"/>
          <w:b w:val="0"/>
          <w:color w:val="5B6573"/>
          <w:sz w:val="20"/>
        </w:rPr>
        <w:t>Study Alpha 2026 analysis snapshot • 48 fictional records</w:t>
      </w:r>
    </w:p>
    <w:p>
      <w:r>
        <w:t>Purpose: to describe the synthetic data used in this training submission packet. The dataset contains no real PII, PHI, site data, laboratory results, or clinical records.</w:t>
      </w:r>
    </w:p>
    <w:p>
      <w:pPr>
        <w:pStyle w:val="Heading1"/>
      </w:pPr>
      <w:r>
        <w:t>Dataset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CE6F1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>Attribute</w:t>
            </w:r>
          </w:p>
        </w:tc>
        <w:tc>
          <w:tcPr>
            <w:tcW w:type="dxa" w:w="70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CE6F1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>Description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Snapshot date</w:t>
            </w:r>
          </w:p>
        </w:tc>
        <w:tc>
          <w:tcPr>
            <w:tcW w:type="dxa" w:w="70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2026-09-02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Record count</w:t>
            </w:r>
          </w:p>
        </w:tc>
        <w:tc>
          <w:tcPr>
            <w:tcW w:type="dxa" w:w="70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48 synthetic records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Groups</w:t>
            </w:r>
          </w:p>
        </w:tc>
        <w:tc>
          <w:tcPr>
            <w:tcW w:type="dxa" w:w="70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24 SC-A 2.5 mg; 24 matched control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Endpoint frame</w:t>
            </w:r>
          </w:p>
        </w:tc>
        <w:tc>
          <w:tcPr>
            <w:tcW w:type="dxa" w:w="70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Synthetic Day-28 symptom-index change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Safety frame</w:t>
            </w:r>
          </w:p>
        </w:tc>
        <w:tc>
          <w:tcPr>
            <w:tcW w:type="dxa" w:w="70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Seven non-serious synthetic events across six synthetic participants; zero synthetic serious events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Identifiers</w:t>
            </w:r>
          </w:p>
        </w:tc>
        <w:tc>
          <w:tcPr>
            <w:tcW w:type="dxa" w:w="70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Invented training-only labels; no re-identification path</w:t>
            </w:r>
          </w:p>
        </w:tc>
      </w:tr>
    </w:tbl>
    <w:p>
      <w:pPr>
        <w:spacing w:after="40"/>
      </w:pPr>
    </w:p>
    <w:p>
      <w:pPr>
        <w:pStyle w:val="Heading1"/>
      </w:pPr>
      <w:r>
        <w:t>Construction and controls</w:t>
      </w:r>
    </w:p>
    <w:p>
      <w:r>
        <w:t>Values were invented to support a consistent training narrative. The analysis fields are constrained to the packet anchors and are not suitable for clinical, operational, statistical, or regulatory decision-making.</w:t>
      </w:r>
    </w:p>
    <w:p>
      <w:pPr>
        <w:pStyle w:val="Heading1"/>
      </w:pPr>
      <w:r>
        <w:t>Permitted use</w:t>
      </w:r>
    </w:p>
    <w:p>
      <w:r>
        <w:t>Document organization, quality-review drills, and fictional submission-packet exercises. Redistribution must preserve the synthetic training label.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B6573"/>
        <w:sz w:val="16"/>
      </w:rPr>
      <w:t>Study Alpha 2026  •  Snapshot 2026-09-02  •  Fictional training content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B6573"/>
        <w:sz w:val="16"/>
      </w:rPr>
      <w:t>SAKURA CLINICAL  |  SYNTHETIC TRAINING/SUBMISSION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