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log</w:t>
      </w:r>
    </w:p>
    <w:p>
      <w:r>
        <w:rPr>
          <w:color w:val="666666"/>
          <w:sz w:val="24"/>
        </w:rPr>
        <w:t>Working draft for synthesis, decision sequencing, and finance controls</w:t>
      </w:r>
    </w:p>
    <w:tbl>
      <w:tblPr>
        <w:tblW w:type="auto" w:w="0"/>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rFonts w:ascii="Arial" w:hAnsi="Arial"/>
                <w:b/>
                <w:color w:val="FFFFFF"/>
                <w:sz w:val="18"/>
              </w:rPr>
              <w:t>Client</w:t>
            </w:r>
          </w:p>
        </w:tc>
        <w:tc>
          <w:tcPr>
            <w:tcW w:type="dxa" w:w="2484"/>
            <w:vAlign w:val="center"/>
            <w:shd w:fill="EAF2F8"/>
          </w:tcPr>
          <w:p>
            <w:pPr>
              <w:spacing w:after="40"/>
            </w:pPr>
            <w:r/>
            <w:r>
              <w:rPr>
                <w:rFonts w:ascii="Arial" w:hAnsi="Arial"/>
                <w:b w:val="0"/>
                <w:color w:val="000000"/>
                <w:sz w:val="18"/>
              </w:rPr>
              <w:t>Client Alpha</w:t>
            </w:r>
          </w:p>
        </w:tc>
        <w:tc>
          <w:tcPr>
            <w:tcW w:type="dxa" w:w="2484"/>
            <w:vAlign w:val="center"/>
            <w:shd w:fill="17365D"/>
          </w:tcPr>
          <w:p>
            <w:pPr>
              <w:spacing w:after="40"/>
            </w:pPr>
            <w:r/>
            <w:r>
              <w:rPr>
                <w:rFonts w:ascii="Arial" w:hAnsi="Arial"/>
                <w:b/>
                <w:color w:val="FFFFFF"/>
                <w:sz w:val="18"/>
              </w:rPr>
              <w:t>Date</w:t>
            </w:r>
          </w:p>
        </w:tc>
        <w:tc>
          <w:tcPr>
            <w:tcW w:type="dxa" w:w="2484"/>
            <w:vAlign w:val="center"/>
            <w:shd w:fill="EAF2F8"/>
          </w:tcPr>
          <w:p>
            <w:pPr>
              <w:spacing w:after="40"/>
            </w:pPr>
            <w:r/>
            <w:r>
              <w:rPr>
                <w:rFonts w:ascii="Arial" w:hAnsi="Arial"/>
                <w:b w:val="0"/>
                <w:color w:val="000000"/>
                <w:sz w:val="18"/>
              </w:rPr>
              <w:t>13 Jul 2026</w:t>
            </w:r>
          </w:p>
        </w:tc>
      </w:tr>
      <w:tr>
        <w:tc>
          <w:tcPr>
            <w:tcW w:type="dxa" w:w="2484"/>
            <w:vAlign w:val="center"/>
            <w:shd w:fill="17365D"/>
          </w:tcPr>
          <w:p>
            <w:pPr>
              <w:spacing w:after="40"/>
            </w:pPr>
            <w:r/>
            <w:r>
              <w:rPr>
                <w:rFonts w:ascii="Arial" w:hAnsi="Arial"/>
                <w:b/>
                <w:color w:val="FFFFFF"/>
                <w:sz w:val="18"/>
              </w:rPr>
              <w:t>Engagement</w:t>
            </w:r>
          </w:p>
        </w:tc>
        <w:tc>
          <w:tcPr>
            <w:tcW w:type="dxa" w:w="2484"/>
            <w:vAlign w:val="center"/>
            <w:shd w:fill="EAF2F8"/>
          </w:tcPr>
          <w:p>
            <w:pPr>
              <w:spacing w:after="40"/>
            </w:pPr>
            <w:r/>
            <w:r>
              <w:rPr>
                <w:rFonts w:ascii="Arial" w:hAnsi="Arial"/>
                <w:b w:val="0"/>
                <w:color w:val="000000"/>
                <w:sz w:val="18"/>
              </w:rPr>
              <w:t>Phase 1</w:t>
            </w:r>
          </w:p>
        </w:tc>
        <w:tc>
          <w:tcPr>
            <w:tcW w:type="dxa" w:w="2484"/>
            <w:vAlign w:val="center"/>
            <w:shd w:fill="17365D"/>
          </w:tcPr>
          <w:p>
            <w:pPr>
              <w:spacing w:after="40"/>
            </w:pPr>
            <w:r/>
            <w:r>
              <w:rPr>
                <w:rFonts w:ascii="Arial" w:hAnsi="Arial"/>
                <w:b/>
                <w:color w:val="FFFFFF"/>
                <w:sz w:val="18"/>
              </w:rPr>
              <w:t>Status</w:t>
            </w:r>
          </w:p>
        </w:tc>
        <w:tc>
          <w:tcPr>
            <w:tcW w:type="dxa" w:w="2484"/>
            <w:vAlign w:val="center"/>
            <w:shd w:fill="EAF2F8"/>
          </w:tcPr>
          <w:p>
            <w:pPr>
              <w:spacing w:after="40"/>
            </w:pPr>
            <w:r/>
            <w:r>
              <w:rPr>
                <w:rFonts w:ascii="Arial" w:hAnsi="Arial"/>
                <w:b w:val="0"/>
                <w:color w:val="000000"/>
                <w:sz w:val="18"/>
              </w:rPr>
              <w:t>Working draft</w:t>
            </w:r>
          </w:p>
        </w:tc>
      </w:tr>
    </w:tbl>
    <w:p>
      <w:pPr>
        <w:pStyle w:val="Heading1"/>
      </w:pPr>
      <w:r>
        <w:t>Purpose and use</w:t>
      </w:r>
    </w:p>
    <w:p>
      <w:r>
        <w:t>This log turns open questions into an explicit decision queue for the Client Alpha Phase 1 team. It is deliberately practical: questions are framed so that a working session can close them, escalate them, or convert them into a tracked assumption. The log links to the broader Summit Vale Advisory portfolio, where Finance is managing against a ¥42.8M budget and Client Beta Phase 2 is progressing in parallel.</w:t>
      </w:r>
    </w:p>
    <w:p>
      <w:pPr>
        <w:pStyle w:val="Heading2"/>
      </w:pPr>
      <w:r>
        <w:t>Operating rules</w:t>
      </w:r>
    </w:p>
    <w:p>
      <w:pPr>
        <w:pStyle w:val="ListBullet"/>
      </w:pPr>
      <w:r>
        <w:t>Use evidence already available to the workstream before requesting new analysis.</w:t>
      </w:r>
    </w:p>
    <w:p>
      <w:pPr>
        <w:pStyle w:val="ListBullet"/>
      </w:pPr>
      <w:r>
        <w:t>Name one accountable owner and one decision date for each material question.</w:t>
      </w:r>
    </w:p>
    <w:p>
      <w:pPr>
        <w:pStyle w:val="ListBullet"/>
      </w:pPr>
      <w:r>
        <w:t>Escalate only questions that change the Phase 1 recommendation, spending profile, or portfolio trade-off.</w:t>
      </w:r>
    </w:p>
    <w:p>
      <w:pPr>
        <w:pStyle w:val="ListBullet"/>
      </w:pPr>
      <w:r>
        <w:t>Record a provisional answer when a gate cannot wait; tag the assumption for revalidation.</w:t>
      </w:r>
    </w:p>
    <w:p>
      <w:pPr>
        <w:pStyle w:val="Heading1"/>
      </w:pPr>
      <w:r>
        <w:t>Active decision queue</w:t>
      </w:r>
    </w:p>
    <w:tbl>
      <w:tblPr>
        <w:tblW w:type="auto" w:w="0"/>
        <w:jc w:val="left"/>
        <w:tblLayout w:type="fixed"/>
        <w:tblLook w:firstColumn="1" w:firstRow="1" w:lastColumn="0" w:lastRow="0" w:noHBand="0" w:noVBand="1" w:val="04A0"/>
      </w:tblPr>
      <w:tblGrid>
        <w:gridCol w:w="1987"/>
        <w:gridCol w:w="1987"/>
        <w:gridCol w:w="1987"/>
        <w:gridCol w:w="1987"/>
        <w:gridCol w:w="1987"/>
      </w:tblGrid>
      <w:tr>
        <w:tc>
          <w:tcPr>
            <w:tcW w:type="dxa" w:w="2088"/>
            <w:vAlign w:val="center"/>
            <w:shd w:fill="17365D"/>
          </w:tcPr>
          <w:p>
            <w:pPr>
              <w:spacing w:after="40"/>
            </w:pPr>
            <w:r/>
            <w:r>
              <w:rPr>
                <w:rFonts w:ascii="Arial" w:hAnsi="Arial"/>
                <w:b/>
                <w:color w:val="FFFFFF"/>
                <w:sz w:val="18"/>
              </w:rPr>
              <w:t>Question</w:t>
            </w:r>
          </w:p>
        </w:tc>
        <w:tc>
          <w:tcPr>
            <w:tcW w:type="dxa" w:w="3240"/>
            <w:vAlign w:val="center"/>
            <w:shd w:fill="17365D"/>
          </w:tcPr>
          <w:p>
            <w:pPr>
              <w:spacing w:after="40"/>
            </w:pPr>
            <w:r/>
            <w:r>
              <w:rPr>
                <w:rFonts w:ascii="Arial" w:hAnsi="Arial"/>
                <w:b/>
                <w:color w:val="FFFFFF"/>
                <w:sz w:val="18"/>
              </w:rPr>
              <w:t>Why it matters</w:t>
            </w:r>
          </w:p>
        </w:tc>
        <w:tc>
          <w:tcPr>
            <w:tcW w:type="dxa" w:w="1656"/>
            <w:vAlign w:val="center"/>
            <w:shd w:fill="17365D"/>
          </w:tcPr>
          <w:p>
            <w:pPr>
              <w:spacing w:after="40"/>
            </w:pPr>
            <w:r/>
            <w:r>
              <w:rPr>
                <w:rFonts w:ascii="Arial" w:hAnsi="Arial"/>
                <w:b/>
                <w:color w:val="FFFFFF"/>
                <w:sz w:val="18"/>
              </w:rPr>
              <w:t>Owner</w:t>
            </w:r>
          </w:p>
        </w:tc>
        <w:tc>
          <w:tcPr>
            <w:tcW w:type="dxa" w:w="1080"/>
            <w:vAlign w:val="center"/>
            <w:shd w:fill="17365D"/>
          </w:tcPr>
          <w:p>
            <w:pPr>
              <w:spacing w:after="40"/>
            </w:pPr>
            <w:r/>
            <w:r>
              <w:rPr>
                <w:rFonts w:ascii="Arial" w:hAnsi="Arial"/>
                <w:b/>
                <w:color w:val="FFFFFF"/>
                <w:sz w:val="18"/>
              </w:rPr>
              <w:t>Due</w:t>
            </w:r>
          </w:p>
        </w:tc>
        <w:tc>
          <w:tcPr>
            <w:tcW w:type="dxa" w:w="1440"/>
            <w:vAlign w:val="center"/>
            <w:shd w:fill="17365D"/>
          </w:tcPr>
          <w:p>
            <w:pPr>
              <w:spacing w:after="40"/>
            </w:pPr>
            <w:r/>
            <w:r>
              <w:rPr>
                <w:rFonts w:ascii="Arial" w:hAnsi="Arial"/>
                <w:b/>
                <w:color w:val="FFFFFF"/>
                <w:sz w:val="18"/>
              </w:rPr>
              <w:t>Path</w:t>
            </w:r>
          </w:p>
        </w:tc>
      </w:tr>
      <w:tr>
        <w:tc>
          <w:tcPr>
            <w:tcW w:type="dxa" w:w="2088"/>
            <w:vAlign w:val="center"/>
          </w:tcPr>
          <w:p>
            <w:pPr>
              <w:spacing w:after="40"/>
            </w:pPr>
            <w:r/>
            <w:r>
              <w:rPr>
                <w:rFonts w:ascii="Arial" w:hAnsi="Arial"/>
                <w:b w:val="0"/>
                <w:color w:val="000000"/>
                <w:sz w:val="18"/>
              </w:rPr>
              <w:t>Which Alpha workstream has the clearest measurable value case?</w:t>
            </w:r>
          </w:p>
        </w:tc>
        <w:tc>
          <w:tcPr>
            <w:tcW w:type="dxa" w:w="3240"/>
            <w:vAlign w:val="center"/>
          </w:tcPr>
          <w:p>
            <w:pPr>
              <w:spacing w:after="40"/>
            </w:pPr>
            <w:r/>
            <w:r>
              <w:rPr>
                <w:rFonts w:ascii="Arial" w:hAnsi="Arial"/>
                <w:b w:val="0"/>
                <w:color w:val="000000"/>
                <w:sz w:val="18"/>
              </w:rPr>
              <w:t>Sets synthesis emphasis and evidence threshold.</w:t>
            </w:r>
          </w:p>
        </w:tc>
        <w:tc>
          <w:tcPr>
            <w:tcW w:type="dxa" w:w="1656"/>
            <w:vAlign w:val="center"/>
          </w:tcPr>
          <w:p>
            <w:pPr>
              <w:spacing w:after="40"/>
            </w:pPr>
            <w:r/>
            <w:r>
              <w:rPr>
                <w:rFonts w:ascii="Arial" w:hAnsi="Arial"/>
                <w:b w:val="0"/>
                <w:color w:val="000000"/>
                <w:sz w:val="18"/>
              </w:rPr>
              <w:t>Avery Calder</w:t>
            </w:r>
          </w:p>
        </w:tc>
        <w:tc>
          <w:tcPr>
            <w:tcW w:type="dxa" w:w="1080"/>
            <w:vAlign w:val="center"/>
          </w:tcPr>
          <w:p>
            <w:pPr>
              <w:spacing w:after="40"/>
            </w:pPr>
            <w:r/>
            <w:r>
              <w:rPr>
                <w:rFonts w:ascii="Arial" w:hAnsi="Arial"/>
                <w:b w:val="0"/>
                <w:color w:val="000000"/>
                <w:sz w:val="18"/>
              </w:rPr>
              <w:t>15 Jul</w:t>
            </w:r>
          </w:p>
        </w:tc>
        <w:tc>
          <w:tcPr>
            <w:tcW w:type="dxa" w:w="1440"/>
            <w:vAlign w:val="center"/>
          </w:tcPr>
          <w:p>
            <w:pPr>
              <w:spacing w:after="40"/>
            </w:pPr>
            <w:r/>
            <w:r>
              <w:rPr>
                <w:rFonts w:ascii="Arial" w:hAnsi="Arial"/>
                <w:b w:val="0"/>
                <w:color w:val="000000"/>
                <w:sz w:val="18"/>
              </w:rPr>
              <w:t>Evidence review</w:t>
            </w:r>
          </w:p>
        </w:tc>
      </w:tr>
      <w:tr>
        <w:tc>
          <w:tcPr>
            <w:tcW w:type="dxa" w:w="2088"/>
            <w:vAlign w:val="center"/>
          </w:tcPr>
          <w:p>
            <w:pPr>
              <w:spacing w:after="40"/>
            </w:pPr>
            <w:r/>
            <w:r>
              <w:rPr>
                <w:rFonts w:ascii="Arial" w:hAnsi="Arial"/>
                <w:b w:val="0"/>
                <w:color w:val="000000"/>
                <w:sz w:val="18"/>
              </w:rPr>
              <w:t>What control evidence is needed before Finance approves the next release?</w:t>
            </w:r>
          </w:p>
        </w:tc>
        <w:tc>
          <w:tcPr>
            <w:tcW w:type="dxa" w:w="3240"/>
            <w:vAlign w:val="center"/>
          </w:tcPr>
          <w:p>
            <w:pPr>
              <w:spacing w:after="40"/>
            </w:pPr>
            <w:r/>
            <w:r>
              <w:rPr>
                <w:rFonts w:ascii="Arial" w:hAnsi="Arial"/>
                <w:b w:val="0"/>
                <w:color w:val="000000"/>
                <w:sz w:val="18"/>
              </w:rPr>
              <w:t>Protects the Phase 1 budget envelope.</w:t>
            </w:r>
          </w:p>
        </w:tc>
        <w:tc>
          <w:tcPr>
            <w:tcW w:type="dxa" w:w="1656"/>
            <w:vAlign w:val="center"/>
          </w:tcPr>
          <w:p>
            <w:pPr>
              <w:spacing w:after="40"/>
            </w:pPr>
            <w:r/>
            <w:r>
              <w:rPr>
                <w:rFonts w:ascii="Arial" w:hAnsi="Arial"/>
                <w:b w:val="0"/>
                <w:color w:val="000000"/>
                <w:sz w:val="18"/>
              </w:rPr>
              <w:t>Nina Solberg</w:t>
            </w:r>
          </w:p>
        </w:tc>
        <w:tc>
          <w:tcPr>
            <w:tcW w:type="dxa" w:w="1080"/>
            <w:vAlign w:val="center"/>
          </w:tcPr>
          <w:p>
            <w:pPr>
              <w:spacing w:after="40"/>
            </w:pPr>
            <w:r/>
            <w:r>
              <w:rPr>
                <w:rFonts w:ascii="Arial" w:hAnsi="Arial"/>
                <w:b w:val="0"/>
                <w:color w:val="000000"/>
                <w:sz w:val="18"/>
              </w:rPr>
              <w:t>16 Jul</w:t>
            </w:r>
          </w:p>
        </w:tc>
        <w:tc>
          <w:tcPr>
            <w:tcW w:type="dxa" w:w="1440"/>
            <w:vAlign w:val="center"/>
          </w:tcPr>
          <w:p>
            <w:pPr>
              <w:spacing w:after="40"/>
            </w:pPr>
            <w:r/>
            <w:r>
              <w:rPr>
                <w:rFonts w:ascii="Arial" w:hAnsi="Arial"/>
                <w:b w:val="0"/>
                <w:color w:val="000000"/>
                <w:sz w:val="18"/>
              </w:rPr>
              <w:t>Finance huddle</w:t>
            </w:r>
          </w:p>
        </w:tc>
      </w:tr>
      <w:tr>
        <w:tc>
          <w:tcPr>
            <w:tcW w:type="dxa" w:w="2088"/>
            <w:vAlign w:val="center"/>
          </w:tcPr>
          <w:p>
            <w:pPr>
              <w:spacing w:after="40"/>
            </w:pPr>
            <w:r/>
            <w:r>
              <w:rPr>
                <w:rFonts w:ascii="Arial" w:hAnsi="Arial"/>
                <w:b w:val="0"/>
                <w:color w:val="000000"/>
                <w:sz w:val="18"/>
              </w:rPr>
              <w:t>Where do Alpha and Beta require the same specialist capacity?</w:t>
            </w:r>
          </w:p>
        </w:tc>
        <w:tc>
          <w:tcPr>
            <w:tcW w:type="dxa" w:w="3240"/>
            <w:vAlign w:val="center"/>
          </w:tcPr>
          <w:p>
            <w:pPr>
              <w:spacing w:after="40"/>
            </w:pPr>
            <w:r/>
            <w:r>
              <w:rPr>
                <w:rFonts w:ascii="Arial" w:hAnsi="Arial"/>
                <w:b w:val="0"/>
                <w:color w:val="000000"/>
                <w:sz w:val="18"/>
              </w:rPr>
              <w:t>Avoids portfolio conflict in Phase 2.</w:t>
            </w:r>
          </w:p>
        </w:tc>
        <w:tc>
          <w:tcPr>
            <w:tcW w:type="dxa" w:w="1656"/>
            <w:vAlign w:val="center"/>
          </w:tcPr>
          <w:p>
            <w:pPr>
              <w:spacing w:after="40"/>
            </w:pPr>
            <w:r/>
            <w:r>
              <w:rPr>
                <w:rFonts w:ascii="Arial" w:hAnsi="Arial"/>
                <w:b w:val="0"/>
                <w:color w:val="000000"/>
                <w:sz w:val="18"/>
              </w:rPr>
              <w:t>Keiko Ward</w:t>
            </w:r>
          </w:p>
        </w:tc>
        <w:tc>
          <w:tcPr>
            <w:tcW w:type="dxa" w:w="1080"/>
            <w:vAlign w:val="center"/>
          </w:tcPr>
          <w:p>
            <w:pPr>
              <w:spacing w:after="40"/>
            </w:pPr>
            <w:r/>
            <w:r>
              <w:rPr>
                <w:rFonts w:ascii="Arial" w:hAnsi="Arial"/>
                <w:b w:val="0"/>
                <w:color w:val="000000"/>
                <w:sz w:val="18"/>
              </w:rPr>
              <w:t>16 Jul</w:t>
            </w:r>
          </w:p>
        </w:tc>
        <w:tc>
          <w:tcPr>
            <w:tcW w:type="dxa" w:w="1440"/>
            <w:vAlign w:val="center"/>
          </w:tcPr>
          <w:p>
            <w:pPr>
              <w:spacing w:after="40"/>
            </w:pPr>
            <w:r/>
            <w:r>
              <w:rPr>
                <w:rFonts w:ascii="Arial" w:hAnsi="Arial"/>
                <w:b w:val="0"/>
                <w:color w:val="000000"/>
                <w:sz w:val="18"/>
              </w:rPr>
              <w:t>Staffing plan</w:t>
            </w:r>
          </w:p>
        </w:tc>
      </w:tr>
      <w:tr>
        <w:tc>
          <w:tcPr>
            <w:tcW w:type="dxa" w:w="2088"/>
            <w:vAlign w:val="center"/>
          </w:tcPr>
          <w:p>
            <w:pPr>
              <w:spacing w:after="40"/>
            </w:pPr>
            <w:r/>
            <w:r>
              <w:rPr>
                <w:rFonts w:ascii="Arial" w:hAnsi="Arial"/>
                <w:b w:val="0"/>
                <w:color w:val="000000"/>
                <w:sz w:val="18"/>
              </w:rPr>
              <w:t>What data quality threshold is sufficient for the steering recommendation?</w:t>
            </w:r>
          </w:p>
        </w:tc>
        <w:tc>
          <w:tcPr>
            <w:tcW w:type="dxa" w:w="3240"/>
            <w:vAlign w:val="center"/>
          </w:tcPr>
          <w:p>
            <w:pPr>
              <w:spacing w:after="40"/>
            </w:pPr>
            <w:r/>
            <w:r>
              <w:rPr>
                <w:rFonts w:ascii="Arial" w:hAnsi="Arial"/>
                <w:b w:val="0"/>
                <w:color w:val="000000"/>
                <w:sz w:val="18"/>
              </w:rPr>
              <w:t>Prevents analysis from expanding without a decision benefit.</w:t>
            </w:r>
          </w:p>
        </w:tc>
        <w:tc>
          <w:tcPr>
            <w:tcW w:type="dxa" w:w="1656"/>
            <w:vAlign w:val="center"/>
          </w:tcPr>
          <w:p>
            <w:pPr>
              <w:spacing w:after="40"/>
            </w:pPr>
            <w:r/>
            <w:r>
              <w:rPr>
                <w:rFonts w:ascii="Arial" w:hAnsi="Arial"/>
                <w:b w:val="0"/>
                <w:color w:val="000000"/>
                <w:sz w:val="18"/>
              </w:rPr>
              <w:t>Theo Mercer</w:t>
            </w:r>
          </w:p>
        </w:tc>
        <w:tc>
          <w:tcPr>
            <w:tcW w:type="dxa" w:w="1080"/>
            <w:vAlign w:val="center"/>
          </w:tcPr>
          <w:p>
            <w:pPr>
              <w:spacing w:after="40"/>
            </w:pPr>
            <w:r/>
            <w:r>
              <w:rPr>
                <w:rFonts w:ascii="Arial" w:hAnsi="Arial"/>
                <w:b w:val="0"/>
                <w:color w:val="000000"/>
                <w:sz w:val="18"/>
              </w:rPr>
              <w:t>17 Jul</w:t>
            </w:r>
          </w:p>
        </w:tc>
        <w:tc>
          <w:tcPr>
            <w:tcW w:type="dxa" w:w="1440"/>
            <w:vAlign w:val="center"/>
          </w:tcPr>
          <w:p>
            <w:pPr>
              <w:spacing w:after="40"/>
            </w:pPr>
            <w:r/>
            <w:r>
              <w:rPr>
                <w:rFonts w:ascii="Arial" w:hAnsi="Arial"/>
                <w:b w:val="0"/>
                <w:color w:val="000000"/>
                <w:sz w:val="18"/>
              </w:rPr>
              <w:t>Data review</w:t>
            </w:r>
          </w:p>
        </w:tc>
      </w:tr>
      <w:tr>
        <w:tc>
          <w:tcPr>
            <w:tcW w:type="dxa" w:w="2088"/>
            <w:vAlign w:val="center"/>
          </w:tcPr>
          <w:p>
            <w:pPr>
              <w:spacing w:after="40"/>
            </w:pPr>
            <w:r/>
            <w:r>
              <w:rPr>
                <w:rFonts w:ascii="Arial" w:hAnsi="Arial"/>
                <w:b w:val="0"/>
                <w:color w:val="000000"/>
                <w:sz w:val="18"/>
              </w:rPr>
              <w:t>Which decisions need client confirmation versus team judgment?</w:t>
            </w:r>
          </w:p>
        </w:tc>
        <w:tc>
          <w:tcPr>
            <w:tcW w:type="dxa" w:w="3240"/>
            <w:vAlign w:val="center"/>
          </w:tcPr>
          <w:p>
            <w:pPr>
              <w:spacing w:after="40"/>
            </w:pPr>
            <w:r/>
            <w:r>
              <w:rPr>
                <w:rFonts w:ascii="Arial" w:hAnsi="Arial"/>
                <w:b w:val="0"/>
                <w:color w:val="000000"/>
                <w:sz w:val="18"/>
              </w:rPr>
              <w:t>Clarifies governance and meeting design.</w:t>
            </w:r>
          </w:p>
        </w:tc>
        <w:tc>
          <w:tcPr>
            <w:tcW w:type="dxa" w:w="1656"/>
            <w:vAlign w:val="center"/>
          </w:tcPr>
          <w:p>
            <w:pPr>
              <w:spacing w:after="40"/>
            </w:pPr>
            <w:r/>
            <w:r>
              <w:rPr>
                <w:rFonts w:ascii="Arial" w:hAnsi="Arial"/>
                <w:b w:val="0"/>
                <w:color w:val="000000"/>
                <w:sz w:val="18"/>
              </w:rPr>
              <w:t>Avery Calder</w:t>
            </w:r>
          </w:p>
        </w:tc>
        <w:tc>
          <w:tcPr>
            <w:tcW w:type="dxa" w:w="1080"/>
            <w:vAlign w:val="center"/>
          </w:tcPr>
          <w:p>
            <w:pPr>
              <w:spacing w:after="40"/>
            </w:pPr>
            <w:r/>
            <w:r>
              <w:rPr>
                <w:rFonts w:ascii="Arial" w:hAnsi="Arial"/>
                <w:b w:val="0"/>
                <w:color w:val="000000"/>
                <w:sz w:val="18"/>
              </w:rPr>
              <w:t>17 Jul</w:t>
            </w:r>
          </w:p>
        </w:tc>
        <w:tc>
          <w:tcPr>
            <w:tcW w:type="dxa" w:w="1440"/>
            <w:vAlign w:val="center"/>
          </w:tcPr>
          <w:p>
            <w:pPr>
              <w:spacing w:after="40"/>
            </w:pPr>
            <w:r/>
            <w:r>
              <w:rPr>
                <w:rFonts w:ascii="Arial" w:hAnsi="Arial"/>
                <w:b w:val="0"/>
                <w:color w:val="000000"/>
                <w:sz w:val="18"/>
              </w:rPr>
              <w:t>Steerco pre-wire</w:t>
            </w:r>
          </w:p>
        </w:tc>
      </w:tr>
    </w:tbl>
    <w:p>
      <w:r>
        <w:br w:type="page"/>
      </w:r>
    </w:p>
    <w:p>
      <w:pPr>
        <w:pStyle w:val="Heading1"/>
      </w:pPr>
      <w:r>
        <w:t>Question details and working hypotheses</w:t>
      </w:r>
    </w:p>
    <w:p>
      <w:pPr>
        <w:pStyle w:val="Heading2"/>
      </w:pPr>
      <w:r>
        <w:t>Value case</w:t>
      </w:r>
    </w:p>
    <w:p>
      <w:r>
        <w:t>The leading candidate should show an observable financial or operating outcome, a manageable implementation dependency, and a credible owner. Initial evidence favors a focused control-and-decision workflow rather than a broad transformation claim.</w:t>
      </w:r>
    </w:p>
    <w:p>
      <w:pPr>
        <w:pStyle w:val="Heading2"/>
      </w:pPr>
      <w:r>
        <w:t>Finance controls</w:t>
      </w:r>
    </w:p>
    <w:p>
      <w:r>
        <w:t>Nina will define the minimum evidence pack: approved scope, forecast-to-plan bridge, named decision owner, and any exception rationale. The goal is a lightweight gate that preserves pace without weakening budget discipline.</w:t>
      </w:r>
    </w:p>
    <w:p>
      <w:pPr>
        <w:pStyle w:val="Heading2"/>
      </w:pPr>
      <w:r>
        <w:t>Data readiness</w:t>
      </w:r>
    </w:p>
    <w:p>
      <w:r>
        <w:t>Theo will classify inputs as decision-ready, directional, or unavailable. Directional inputs may inform a hypothesis but should not be used as the sole basis for a spending commitment.</w:t>
      </w:r>
    </w:p>
    <w:p>
      <w:pPr>
        <w:pStyle w:val="Heading2"/>
      </w:pPr>
      <w:r>
        <w:t>Portfolio capacity</w:t>
      </w:r>
    </w:p>
    <w:p>
      <w:r>
        <w:t>Keiko will test specialist overlap across Alpha Phase 1 and Beta Phase 2 before the weekly staffing plan is locked. Any shortage should be treated as a portfolio sequencing issue, not a local scheduling problem.</w:t>
      </w:r>
    </w:p>
    <w:p>
      <w:pPr>
        <w:pStyle w:val="Heading1"/>
      </w:pPr>
      <w:r>
        <w:t>Escalation triggers</w:t>
      </w:r>
    </w:p>
    <w:p>
      <w:pPr>
        <w:pStyle w:val="ListBullet"/>
      </w:pPr>
      <w:r>
        <w:t>Forecast movement of more than ¥0.5M from the approved Alpha envelope.</w:t>
      </w:r>
    </w:p>
    <w:p>
      <w:pPr>
        <w:pStyle w:val="ListBullet"/>
      </w:pPr>
      <w:r>
        <w:t>A decision gate slips beyond 17 July without a documented provisional answer.</w:t>
      </w:r>
    </w:p>
    <w:p>
      <w:pPr>
        <w:pStyle w:val="ListBullet"/>
      </w:pPr>
      <w:r>
        <w:t>A shared specialist is committed above available weekly capacity.</w:t>
      </w:r>
    </w:p>
    <w:p>
      <w:pPr>
        <w:pStyle w:val="ListBullet"/>
      </w:pPr>
      <w:r>
        <w:t>Evidence conflicts materially with the current recommendation.</w:t>
      </w:r>
    </w:p>
    <w:p>
      <w:r>
        <w:br w:type="page"/>
      </w:r>
    </w:p>
    <w:p>
      <w:pPr>
        <w:pStyle w:val="Heading1"/>
      </w:pPr>
      <w:r>
        <w:t>Decision log and next cadence</w:t>
      </w:r>
    </w:p>
    <w:p>
      <w:r>
        <w:t>At each daily working session, the team should review only questions due within the next three business days, new evidence that changes an existing answer, and exceptions requiring an Alpha–Beta portfolio trade-off. Closed questions remain in the log with a concise answer, evidence reference, and follow-up owner so the synthesis can be audited without reconstructing meeting history.</w:t>
      </w:r>
    </w:p>
    <w:tbl>
      <w:tblPr>
        <w:tblW w:type="auto" w:w="0"/>
        <w:jc w:val="left"/>
        <w:tblLayout w:type="fixed"/>
        <w:tblLook w:firstColumn="1" w:firstRow="1" w:lastColumn="0" w:lastRow="0" w:noHBand="0" w:noVBand="1" w:val="04A0"/>
      </w:tblPr>
      <w:tblGrid>
        <w:gridCol w:w="2484"/>
        <w:gridCol w:w="2484"/>
        <w:gridCol w:w="2484"/>
        <w:gridCol w:w="2484"/>
      </w:tblGrid>
      <w:tr>
        <w:tc>
          <w:tcPr>
            <w:tcW w:type="dxa" w:w="1800"/>
            <w:vAlign w:val="center"/>
            <w:shd w:fill="17365D"/>
          </w:tcPr>
          <w:p>
            <w:pPr>
              <w:spacing w:after="40"/>
            </w:pPr>
            <w:r/>
            <w:r>
              <w:rPr>
                <w:rFonts w:ascii="Arial" w:hAnsi="Arial"/>
                <w:b/>
                <w:color w:val="FFFFFF"/>
                <w:sz w:val="18"/>
              </w:rPr>
              <w:t>Cadence</w:t>
            </w:r>
          </w:p>
        </w:tc>
        <w:tc>
          <w:tcPr>
            <w:tcW w:type="dxa" w:w="3096"/>
            <w:vAlign w:val="center"/>
            <w:shd w:fill="17365D"/>
          </w:tcPr>
          <w:p>
            <w:pPr>
              <w:spacing w:after="40"/>
            </w:pPr>
            <w:r/>
            <w:r>
              <w:rPr>
                <w:rFonts w:ascii="Arial" w:hAnsi="Arial"/>
                <w:b/>
                <w:color w:val="FFFFFF"/>
                <w:sz w:val="18"/>
              </w:rPr>
              <w:t>Participants</w:t>
            </w:r>
          </w:p>
        </w:tc>
        <w:tc>
          <w:tcPr>
            <w:tcW w:type="dxa" w:w="2808"/>
            <w:vAlign w:val="center"/>
            <w:shd w:fill="17365D"/>
          </w:tcPr>
          <w:p>
            <w:pPr>
              <w:spacing w:after="40"/>
            </w:pPr>
            <w:r/>
            <w:r>
              <w:rPr>
                <w:rFonts w:ascii="Arial" w:hAnsi="Arial"/>
                <w:b/>
                <w:color w:val="FFFFFF"/>
                <w:sz w:val="18"/>
              </w:rPr>
              <w:t>Output</w:t>
            </w:r>
          </w:p>
        </w:tc>
        <w:tc>
          <w:tcPr>
            <w:tcW w:type="dxa" w:w="2088"/>
            <w:vAlign w:val="center"/>
            <w:shd w:fill="17365D"/>
          </w:tcPr>
          <w:p>
            <w:pPr>
              <w:spacing w:after="40"/>
            </w:pPr>
            <w:r/>
            <w:r>
              <w:rPr>
                <w:rFonts w:ascii="Arial" w:hAnsi="Arial"/>
                <w:b/>
                <w:color w:val="FFFFFF"/>
                <w:sz w:val="18"/>
              </w:rPr>
              <w:t>Accountable</w:t>
            </w:r>
          </w:p>
        </w:tc>
      </w:tr>
      <w:tr>
        <w:tc>
          <w:tcPr>
            <w:tcW w:type="dxa" w:w="1800"/>
            <w:vAlign w:val="center"/>
          </w:tcPr>
          <w:p>
            <w:pPr>
              <w:spacing w:after="40"/>
            </w:pPr>
            <w:r/>
            <w:r>
              <w:rPr>
                <w:rFonts w:ascii="Arial" w:hAnsi="Arial"/>
                <w:b w:val="0"/>
                <w:color w:val="000000"/>
                <w:sz w:val="18"/>
              </w:rPr>
              <w:t>Daily 20-minute review</w:t>
            </w:r>
          </w:p>
        </w:tc>
        <w:tc>
          <w:tcPr>
            <w:tcW w:type="dxa" w:w="3096"/>
            <w:vAlign w:val="center"/>
          </w:tcPr>
          <w:p>
            <w:pPr>
              <w:spacing w:after="40"/>
            </w:pPr>
            <w:r/>
            <w:r>
              <w:rPr>
                <w:rFonts w:ascii="Arial" w:hAnsi="Arial"/>
                <w:b w:val="0"/>
                <w:color w:val="000000"/>
                <w:sz w:val="18"/>
              </w:rPr>
              <w:t>Avery, Nina, Theo, Keiko</w:t>
            </w:r>
          </w:p>
        </w:tc>
        <w:tc>
          <w:tcPr>
            <w:tcW w:type="dxa" w:w="2808"/>
            <w:vAlign w:val="center"/>
          </w:tcPr>
          <w:p>
            <w:pPr>
              <w:spacing w:after="40"/>
            </w:pPr>
            <w:r/>
            <w:r>
              <w:rPr>
                <w:rFonts w:ascii="Arial" w:hAnsi="Arial"/>
                <w:b w:val="0"/>
                <w:color w:val="000000"/>
                <w:sz w:val="18"/>
              </w:rPr>
              <w:t>Updated question queue</w:t>
            </w:r>
          </w:p>
        </w:tc>
        <w:tc>
          <w:tcPr>
            <w:tcW w:type="dxa" w:w="2088"/>
            <w:vAlign w:val="center"/>
          </w:tcPr>
          <w:p>
            <w:pPr>
              <w:spacing w:after="40"/>
            </w:pPr>
            <w:r/>
            <w:r>
              <w:rPr>
                <w:rFonts w:ascii="Arial" w:hAnsi="Arial"/>
                <w:b w:val="0"/>
                <w:color w:val="000000"/>
                <w:sz w:val="18"/>
              </w:rPr>
              <w:t>Avery Calder</w:t>
            </w:r>
          </w:p>
        </w:tc>
      </w:tr>
      <w:tr>
        <w:tc>
          <w:tcPr>
            <w:tcW w:type="dxa" w:w="1800"/>
            <w:vAlign w:val="center"/>
          </w:tcPr>
          <w:p>
            <w:pPr>
              <w:spacing w:after="40"/>
            </w:pPr>
            <w:r/>
            <w:r>
              <w:rPr>
                <w:rFonts w:ascii="Arial" w:hAnsi="Arial"/>
                <w:b w:val="0"/>
                <w:color w:val="000000"/>
                <w:sz w:val="18"/>
              </w:rPr>
              <w:t>Finance gate</w:t>
            </w:r>
          </w:p>
        </w:tc>
        <w:tc>
          <w:tcPr>
            <w:tcW w:type="dxa" w:w="3096"/>
            <w:vAlign w:val="center"/>
          </w:tcPr>
          <w:p>
            <w:pPr>
              <w:spacing w:after="40"/>
            </w:pPr>
            <w:r/>
            <w:r>
              <w:rPr>
                <w:rFonts w:ascii="Arial" w:hAnsi="Arial"/>
                <w:b w:val="0"/>
                <w:color w:val="000000"/>
                <w:sz w:val="18"/>
              </w:rPr>
              <w:t>Nina + Avery</w:t>
            </w:r>
          </w:p>
        </w:tc>
        <w:tc>
          <w:tcPr>
            <w:tcW w:type="dxa" w:w="2808"/>
            <w:vAlign w:val="center"/>
          </w:tcPr>
          <w:p>
            <w:pPr>
              <w:spacing w:after="40"/>
            </w:pPr>
            <w:r/>
            <w:r>
              <w:rPr>
                <w:rFonts w:ascii="Arial" w:hAnsi="Arial"/>
                <w:b w:val="0"/>
                <w:color w:val="000000"/>
                <w:sz w:val="18"/>
              </w:rPr>
              <w:t>Control evidence pack</w:t>
            </w:r>
          </w:p>
        </w:tc>
        <w:tc>
          <w:tcPr>
            <w:tcW w:type="dxa" w:w="2088"/>
            <w:vAlign w:val="center"/>
          </w:tcPr>
          <w:p>
            <w:pPr>
              <w:spacing w:after="40"/>
            </w:pPr>
            <w:r/>
            <w:r>
              <w:rPr>
                <w:rFonts w:ascii="Arial" w:hAnsi="Arial"/>
                <w:b w:val="0"/>
                <w:color w:val="000000"/>
                <w:sz w:val="18"/>
              </w:rPr>
              <w:t>Nina Solberg</w:t>
            </w:r>
          </w:p>
        </w:tc>
      </w:tr>
      <w:tr>
        <w:tc>
          <w:tcPr>
            <w:tcW w:type="dxa" w:w="1800"/>
            <w:vAlign w:val="center"/>
          </w:tcPr>
          <w:p>
            <w:pPr>
              <w:spacing w:after="40"/>
            </w:pPr>
            <w:r/>
            <w:r>
              <w:rPr>
                <w:rFonts w:ascii="Arial" w:hAnsi="Arial"/>
                <w:b w:val="0"/>
                <w:color w:val="000000"/>
                <w:sz w:val="18"/>
              </w:rPr>
              <w:t>Weekly portfolio check</w:t>
            </w:r>
          </w:p>
        </w:tc>
        <w:tc>
          <w:tcPr>
            <w:tcW w:type="dxa" w:w="3096"/>
            <w:vAlign w:val="center"/>
          </w:tcPr>
          <w:p>
            <w:pPr>
              <w:spacing w:after="40"/>
            </w:pPr>
            <w:r/>
            <w:r>
              <w:rPr>
                <w:rFonts w:ascii="Arial" w:hAnsi="Arial"/>
                <w:b w:val="0"/>
                <w:color w:val="000000"/>
                <w:sz w:val="18"/>
              </w:rPr>
              <w:t>All leads</w:t>
            </w:r>
          </w:p>
        </w:tc>
        <w:tc>
          <w:tcPr>
            <w:tcW w:type="dxa" w:w="2808"/>
            <w:vAlign w:val="center"/>
          </w:tcPr>
          <w:p>
            <w:pPr>
              <w:spacing w:after="40"/>
            </w:pPr>
            <w:r/>
            <w:r>
              <w:rPr>
                <w:rFonts w:ascii="Arial" w:hAnsi="Arial"/>
                <w:b w:val="0"/>
                <w:color w:val="000000"/>
                <w:sz w:val="18"/>
              </w:rPr>
              <w:t>Alpha/Beta capacity and spend view</w:t>
            </w:r>
          </w:p>
        </w:tc>
        <w:tc>
          <w:tcPr>
            <w:tcW w:type="dxa" w:w="2088"/>
            <w:vAlign w:val="center"/>
          </w:tcPr>
          <w:p>
            <w:pPr>
              <w:spacing w:after="40"/>
            </w:pPr>
            <w:r/>
            <w:r>
              <w:rPr>
                <w:rFonts w:ascii="Arial" w:hAnsi="Arial"/>
                <w:b w:val="0"/>
                <w:color w:val="000000"/>
                <w:sz w:val="18"/>
              </w:rPr>
              <w:t>Keiko Ward</w:t>
            </w:r>
          </w:p>
        </w:tc>
      </w:tr>
      <w:tr>
        <w:tc>
          <w:tcPr>
            <w:tcW w:type="dxa" w:w="1800"/>
            <w:vAlign w:val="center"/>
          </w:tcPr>
          <w:p>
            <w:pPr>
              <w:spacing w:after="40"/>
            </w:pPr>
            <w:r/>
            <w:r>
              <w:rPr>
                <w:rFonts w:ascii="Arial" w:hAnsi="Arial"/>
                <w:b w:val="0"/>
                <w:color w:val="000000"/>
                <w:sz w:val="18"/>
              </w:rPr>
              <w:t>Steering pre-wire</w:t>
            </w:r>
          </w:p>
        </w:tc>
        <w:tc>
          <w:tcPr>
            <w:tcW w:type="dxa" w:w="3096"/>
            <w:vAlign w:val="center"/>
          </w:tcPr>
          <w:p>
            <w:pPr>
              <w:spacing w:after="40"/>
            </w:pPr>
            <w:r/>
            <w:r>
              <w:rPr>
                <w:rFonts w:ascii="Arial" w:hAnsi="Arial"/>
                <w:b w:val="0"/>
                <w:color w:val="000000"/>
                <w:sz w:val="18"/>
              </w:rPr>
              <w:t>Avery + client lead</w:t>
            </w:r>
          </w:p>
        </w:tc>
        <w:tc>
          <w:tcPr>
            <w:tcW w:type="dxa" w:w="2808"/>
            <w:vAlign w:val="center"/>
          </w:tcPr>
          <w:p>
            <w:pPr>
              <w:spacing w:after="40"/>
            </w:pPr>
            <w:r/>
            <w:r>
              <w:rPr>
                <w:rFonts w:ascii="Arial" w:hAnsi="Arial"/>
                <w:b w:val="0"/>
                <w:color w:val="000000"/>
                <w:sz w:val="18"/>
              </w:rPr>
              <w:t>Decision-ready narrative</w:t>
            </w:r>
          </w:p>
        </w:tc>
        <w:tc>
          <w:tcPr>
            <w:tcW w:type="dxa" w:w="2088"/>
            <w:vAlign w:val="center"/>
          </w:tcPr>
          <w:p>
            <w:pPr>
              <w:spacing w:after="40"/>
            </w:pPr>
            <w:r/>
            <w:r>
              <w:rPr>
                <w:rFonts w:ascii="Arial" w:hAnsi="Arial"/>
                <w:b w:val="0"/>
                <w:color w:val="000000"/>
                <w:sz w:val="18"/>
              </w:rPr>
              <w:t>Avery Calder</w:t>
            </w:r>
          </w:p>
        </w:tc>
      </w:tr>
    </w:tbl>
    <w:p>
      <w:pPr>
        <w:pStyle w:val="Heading1"/>
      </w:pPr>
      <w:r>
        <w:t>Draft conclusion</w:t>
      </w:r>
    </w:p>
    <w:p>
      <w:r>
        <w:t>The immediate priority is to close the five active questions in decision order, not in analytical order. This preserves the Alpha Phase 1 pace, protects the Finance anchor, and keeps Client Beta Phase 2 linked through an explicit view of shared capacity and control dependencies.</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Working draft • 13 July 2026 • Finance portfolio anchor: ¥42.8M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SUMMIT VALE ADVISORY  |  CLIENT ALPHA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5B9BD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