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Workstream hypotheses</w:t>
      </w:r>
    </w:p>
    <w:p>
      <w:r>
        <w:rPr>
          <w:color w:val="666666"/>
          <w:sz w:val="24"/>
        </w:rPr>
        <w:t>Working draft for Client Alpha Phase 1 synthesis</w:t>
      </w:r>
    </w:p>
    <w:tbl>
      <w:tblPr>
        <w:tblW w:type="auto" w:w="0"/>
        <w:tblLook w:firstColumn="1" w:firstRow="1" w:lastColumn="0" w:lastRow="0" w:noHBand="0" w:noVBand="1" w:val="04A0"/>
      </w:tblPr>
      <w:tblGrid>
        <w:gridCol w:w="2484"/>
        <w:gridCol w:w="2484"/>
        <w:gridCol w:w="2484"/>
        <w:gridCol w:w="2484"/>
      </w:tblGrid>
      <w:tr>
        <w:tc>
          <w:tcPr>
            <w:tcW w:type="dxa" w:w="2484"/>
            <w:vAlign w:val="center"/>
            <w:shd w:fill="17365D"/>
          </w:tcPr>
          <w:p>
            <w:pPr>
              <w:spacing w:after="40"/>
            </w:pPr>
            <w:r/>
            <w:r>
              <w:rPr>
                <w:rFonts w:ascii="Arial" w:hAnsi="Arial"/>
                <w:b/>
                <w:color w:val="FFFFFF"/>
                <w:sz w:val="18"/>
              </w:rPr>
              <w:t>Client</w:t>
            </w:r>
          </w:p>
        </w:tc>
        <w:tc>
          <w:tcPr>
            <w:tcW w:type="dxa" w:w="2484"/>
            <w:vAlign w:val="center"/>
            <w:shd w:fill="EAF2F8"/>
          </w:tcPr>
          <w:p>
            <w:pPr>
              <w:spacing w:after="40"/>
            </w:pPr>
            <w:r/>
            <w:r>
              <w:rPr>
                <w:rFonts w:ascii="Arial" w:hAnsi="Arial"/>
                <w:b w:val="0"/>
                <w:color w:val="000000"/>
                <w:sz w:val="18"/>
              </w:rPr>
              <w:t>Client Alpha</w:t>
            </w:r>
          </w:p>
        </w:tc>
        <w:tc>
          <w:tcPr>
            <w:tcW w:type="dxa" w:w="2484"/>
            <w:vAlign w:val="center"/>
            <w:shd w:fill="17365D"/>
          </w:tcPr>
          <w:p>
            <w:pPr>
              <w:spacing w:after="40"/>
            </w:pPr>
            <w:r/>
            <w:r>
              <w:rPr>
                <w:rFonts w:ascii="Arial" w:hAnsi="Arial"/>
                <w:b/>
                <w:color w:val="FFFFFF"/>
                <w:sz w:val="18"/>
              </w:rPr>
              <w:t>Date</w:t>
            </w:r>
          </w:p>
        </w:tc>
        <w:tc>
          <w:tcPr>
            <w:tcW w:type="dxa" w:w="2484"/>
            <w:vAlign w:val="center"/>
            <w:shd w:fill="EAF2F8"/>
          </w:tcPr>
          <w:p>
            <w:pPr>
              <w:spacing w:after="40"/>
            </w:pPr>
            <w:r/>
            <w:r>
              <w:rPr>
                <w:rFonts w:ascii="Arial" w:hAnsi="Arial"/>
                <w:b w:val="0"/>
                <w:color w:val="000000"/>
                <w:sz w:val="18"/>
              </w:rPr>
              <w:t>13 Jul 2026</w:t>
            </w:r>
          </w:p>
        </w:tc>
      </w:tr>
      <w:tr>
        <w:tc>
          <w:tcPr>
            <w:tcW w:type="dxa" w:w="2484"/>
            <w:vAlign w:val="center"/>
            <w:shd w:fill="17365D"/>
          </w:tcPr>
          <w:p>
            <w:pPr>
              <w:spacing w:after="40"/>
            </w:pPr>
            <w:r/>
            <w:r>
              <w:rPr>
                <w:rFonts w:ascii="Arial" w:hAnsi="Arial"/>
                <w:b/>
                <w:color w:val="FFFFFF"/>
                <w:sz w:val="18"/>
              </w:rPr>
              <w:t>Engagement</w:t>
            </w:r>
          </w:p>
        </w:tc>
        <w:tc>
          <w:tcPr>
            <w:tcW w:type="dxa" w:w="2484"/>
            <w:vAlign w:val="center"/>
            <w:shd w:fill="EAF2F8"/>
          </w:tcPr>
          <w:p>
            <w:pPr>
              <w:spacing w:after="40"/>
            </w:pPr>
            <w:r/>
            <w:r>
              <w:rPr>
                <w:rFonts w:ascii="Arial" w:hAnsi="Arial"/>
                <w:b w:val="0"/>
                <w:color w:val="000000"/>
                <w:sz w:val="18"/>
              </w:rPr>
              <w:t>Phase 1</w:t>
            </w:r>
          </w:p>
        </w:tc>
        <w:tc>
          <w:tcPr>
            <w:tcW w:type="dxa" w:w="2484"/>
            <w:vAlign w:val="center"/>
            <w:shd w:fill="17365D"/>
          </w:tcPr>
          <w:p>
            <w:pPr>
              <w:spacing w:after="40"/>
            </w:pPr>
            <w:r/>
            <w:r>
              <w:rPr>
                <w:rFonts w:ascii="Arial" w:hAnsi="Arial"/>
                <w:b/>
                <w:color w:val="FFFFFF"/>
                <w:sz w:val="18"/>
              </w:rPr>
              <w:t>Status</w:t>
            </w:r>
          </w:p>
        </w:tc>
        <w:tc>
          <w:tcPr>
            <w:tcW w:type="dxa" w:w="2484"/>
            <w:vAlign w:val="center"/>
            <w:shd w:fill="EAF2F8"/>
          </w:tcPr>
          <w:p>
            <w:pPr>
              <w:spacing w:after="40"/>
            </w:pPr>
            <w:r/>
            <w:r>
              <w:rPr>
                <w:rFonts w:ascii="Arial" w:hAnsi="Arial"/>
                <w:b w:val="0"/>
                <w:color w:val="000000"/>
                <w:sz w:val="18"/>
              </w:rPr>
              <w:t>Working draft</w:t>
            </w:r>
          </w:p>
        </w:tc>
      </w:tr>
    </w:tbl>
    <w:p>
      <w:pPr>
        <w:pStyle w:val="Heading1"/>
      </w:pPr>
      <w:r>
        <w:t>Framing</w:t>
      </w:r>
    </w:p>
    <w:p>
      <w:r>
        <w:t>Client Alpha Phase 1 needs a recommendation that is credible enough to guide a near-term decision and structured enough to carry into implementation. These hypotheses organize the current evidence and identify the tests required before the team positions a conclusion as decision-ready. They retain the portfolio link to Client Beta Phase 2 and the Summit Vale Advisory Finance budget of ¥42.8M.</w:t>
      </w:r>
    </w:p>
    <w:p>
      <w:pPr>
        <w:pStyle w:val="Heading1"/>
      </w:pPr>
      <w:r>
        <w:t>Synthesis thesis</w:t>
      </w:r>
    </w:p>
    <w:p>
      <w:r>
        <w:t>Alpha can create the strongest near-term value by concentrating on a small number of decision-and-control routines that make spend, ownership, and data confidence visible at the point of action. The test is not whether the team can describe a broad future state; it is whether the proposed routines can improve decision quality while remaining within the approved Phase 1 envelope.</w:t>
      </w:r>
    </w:p>
    <w:p>
      <w:pPr>
        <w:pStyle w:val="Heading1"/>
      </w:pPr>
      <w:r>
        <w:t>Hypothesis register</w:t>
      </w:r>
    </w:p>
    <w:tbl>
      <w:tblPr>
        <w:tblW w:type="auto" w:w="0"/>
        <w:jc w:val="left"/>
        <w:tblLayout w:type="fixed"/>
        <w:tblLook w:firstColumn="1" w:firstRow="1" w:lastColumn="0" w:lastRow="0" w:noHBand="0" w:noVBand="1" w:val="04A0"/>
      </w:tblPr>
      <w:tblGrid>
        <w:gridCol w:w="1987"/>
        <w:gridCol w:w="1987"/>
        <w:gridCol w:w="1987"/>
        <w:gridCol w:w="1987"/>
        <w:gridCol w:w="1987"/>
      </w:tblGrid>
      <w:tr>
        <w:tc>
          <w:tcPr>
            <w:tcW w:type="dxa" w:w="2232"/>
            <w:vAlign w:val="center"/>
            <w:shd w:fill="17365D"/>
          </w:tcPr>
          <w:p>
            <w:pPr>
              <w:spacing w:after="40"/>
            </w:pPr>
            <w:r/>
            <w:r>
              <w:rPr>
                <w:rFonts w:ascii="Arial" w:hAnsi="Arial"/>
                <w:b/>
                <w:color w:val="FFFFFF"/>
                <w:sz w:val="18"/>
              </w:rPr>
              <w:t>Hypothesis</w:t>
            </w:r>
          </w:p>
        </w:tc>
        <w:tc>
          <w:tcPr>
            <w:tcW w:type="dxa" w:w="2664"/>
            <w:vAlign w:val="center"/>
            <w:shd w:fill="17365D"/>
          </w:tcPr>
          <w:p>
            <w:pPr>
              <w:spacing w:after="40"/>
            </w:pPr>
            <w:r/>
            <w:r>
              <w:rPr>
                <w:rFonts w:ascii="Arial" w:hAnsi="Arial"/>
                <w:b/>
                <w:color w:val="FFFFFF"/>
                <w:sz w:val="18"/>
              </w:rPr>
              <w:t>Evidence to test</w:t>
            </w:r>
          </w:p>
        </w:tc>
        <w:tc>
          <w:tcPr>
            <w:tcW w:type="dxa" w:w="2160"/>
            <w:vAlign w:val="center"/>
            <w:shd w:fill="17365D"/>
          </w:tcPr>
          <w:p>
            <w:pPr>
              <w:spacing w:after="40"/>
            </w:pPr>
            <w:r/>
            <w:r>
              <w:rPr>
                <w:rFonts w:ascii="Arial" w:hAnsi="Arial"/>
                <w:b/>
                <w:color w:val="FFFFFF"/>
                <w:sz w:val="18"/>
              </w:rPr>
              <w:t>Signal of support</w:t>
            </w:r>
          </w:p>
        </w:tc>
        <w:tc>
          <w:tcPr>
            <w:tcW w:type="dxa" w:w="1584"/>
            <w:vAlign w:val="center"/>
            <w:shd w:fill="17365D"/>
          </w:tcPr>
          <w:p>
            <w:pPr>
              <w:spacing w:after="40"/>
            </w:pPr>
            <w:r/>
            <w:r>
              <w:rPr>
                <w:rFonts w:ascii="Arial" w:hAnsi="Arial"/>
                <w:b/>
                <w:color w:val="FFFFFF"/>
                <w:sz w:val="18"/>
              </w:rPr>
              <w:t>Lead</w:t>
            </w:r>
          </w:p>
        </w:tc>
        <w:tc>
          <w:tcPr>
            <w:tcW w:type="dxa" w:w="2088"/>
            <w:vAlign w:val="center"/>
            <w:shd w:fill="17365D"/>
          </w:tcPr>
          <w:p>
            <w:pPr>
              <w:spacing w:after="40"/>
            </w:pPr>
            <w:r/>
            <w:r>
              <w:rPr>
                <w:rFonts w:ascii="Arial" w:hAnsi="Arial"/>
                <w:b/>
                <w:color w:val="FFFFFF"/>
                <w:sz w:val="18"/>
              </w:rPr>
              <w:t>Decision implication</w:t>
            </w:r>
          </w:p>
        </w:tc>
      </w:tr>
      <w:tr>
        <w:tc>
          <w:tcPr>
            <w:tcW w:type="dxa" w:w="2232"/>
            <w:vAlign w:val="center"/>
          </w:tcPr>
          <w:p>
            <w:pPr>
              <w:spacing w:after="40"/>
            </w:pPr>
            <w:r/>
            <w:r>
              <w:rPr>
                <w:rFonts w:ascii="Arial" w:hAnsi="Arial"/>
                <w:b w:val="0"/>
                <w:color w:val="000000"/>
                <w:sz w:val="18"/>
              </w:rPr>
              <w:t>A focused control cadence reduces avoidable decision delay.</w:t>
            </w:r>
          </w:p>
        </w:tc>
        <w:tc>
          <w:tcPr>
            <w:tcW w:type="dxa" w:w="2664"/>
            <w:vAlign w:val="center"/>
          </w:tcPr>
          <w:p>
            <w:pPr>
              <w:spacing w:after="40"/>
            </w:pPr>
            <w:r/>
            <w:r>
              <w:rPr>
                <w:rFonts w:ascii="Arial" w:hAnsi="Arial"/>
                <w:b w:val="0"/>
                <w:color w:val="000000"/>
                <w:sz w:val="18"/>
              </w:rPr>
              <w:t>Compare current approvals with a simple owner/date/evidence gate.</w:t>
            </w:r>
          </w:p>
        </w:tc>
        <w:tc>
          <w:tcPr>
            <w:tcW w:type="dxa" w:w="2160"/>
            <w:vAlign w:val="center"/>
          </w:tcPr>
          <w:p>
            <w:pPr>
              <w:spacing w:after="40"/>
            </w:pPr>
            <w:r/>
            <w:r>
              <w:rPr>
                <w:rFonts w:ascii="Arial" w:hAnsi="Arial"/>
                <w:b w:val="0"/>
                <w:color w:val="000000"/>
                <w:sz w:val="18"/>
              </w:rPr>
              <w:t>Fewer unresolved decisions at weekly review.</w:t>
            </w:r>
          </w:p>
        </w:tc>
        <w:tc>
          <w:tcPr>
            <w:tcW w:type="dxa" w:w="1584"/>
            <w:vAlign w:val="center"/>
          </w:tcPr>
          <w:p>
            <w:pPr>
              <w:spacing w:after="40"/>
            </w:pPr>
            <w:r/>
            <w:r>
              <w:rPr>
                <w:rFonts w:ascii="Arial" w:hAnsi="Arial"/>
                <w:b w:val="0"/>
                <w:color w:val="000000"/>
                <w:sz w:val="18"/>
              </w:rPr>
              <w:t>Nina Solberg</w:t>
            </w:r>
          </w:p>
        </w:tc>
        <w:tc>
          <w:tcPr>
            <w:tcW w:type="dxa" w:w="2088"/>
            <w:vAlign w:val="center"/>
          </w:tcPr>
          <w:p>
            <w:pPr>
              <w:spacing w:after="40"/>
            </w:pPr>
            <w:r/>
            <w:r>
              <w:rPr>
                <w:rFonts w:ascii="Arial" w:hAnsi="Arial"/>
                <w:b w:val="0"/>
                <w:color w:val="000000"/>
                <w:sz w:val="18"/>
              </w:rPr>
              <w:t>Adopt lightweight finance gate.</w:t>
            </w:r>
          </w:p>
        </w:tc>
      </w:tr>
      <w:tr>
        <w:tc>
          <w:tcPr>
            <w:tcW w:type="dxa" w:w="2232"/>
            <w:vAlign w:val="center"/>
          </w:tcPr>
          <w:p>
            <w:pPr>
              <w:spacing w:after="40"/>
            </w:pPr>
            <w:r/>
            <w:r>
              <w:rPr>
                <w:rFonts w:ascii="Arial" w:hAnsi="Arial"/>
                <w:b w:val="0"/>
                <w:color w:val="000000"/>
                <w:sz w:val="18"/>
              </w:rPr>
              <w:t>Shared Alpha–Beta specialist capacity is the main portfolio constraint.</w:t>
            </w:r>
          </w:p>
        </w:tc>
        <w:tc>
          <w:tcPr>
            <w:tcW w:type="dxa" w:w="2664"/>
            <w:vAlign w:val="center"/>
          </w:tcPr>
          <w:p>
            <w:pPr>
              <w:spacing w:after="40"/>
            </w:pPr>
            <w:r/>
            <w:r>
              <w:rPr>
                <w:rFonts w:ascii="Arial" w:hAnsi="Arial"/>
                <w:b w:val="0"/>
                <w:color w:val="000000"/>
                <w:sz w:val="18"/>
              </w:rPr>
              <w:t>Compare planned allocation with available days by role.</w:t>
            </w:r>
          </w:p>
        </w:tc>
        <w:tc>
          <w:tcPr>
            <w:tcW w:type="dxa" w:w="2160"/>
            <w:vAlign w:val="center"/>
          </w:tcPr>
          <w:p>
            <w:pPr>
              <w:spacing w:after="40"/>
            </w:pPr>
            <w:r/>
            <w:r>
              <w:rPr>
                <w:rFonts w:ascii="Arial" w:hAnsi="Arial"/>
                <w:b w:val="0"/>
                <w:color w:val="000000"/>
                <w:sz w:val="18"/>
              </w:rPr>
              <w:t>Overlaps cluster around one or two specialists.</w:t>
            </w:r>
          </w:p>
        </w:tc>
        <w:tc>
          <w:tcPr>
            <w:tcW w:type="dxa" w:w="1584"/>
            <w:vAlign w:val="center"/>
          </w:tcPr>
          <w:p>
            <w:pPr>
              <w:spacing w:after="40"/>
            </w:pPr>
            <w:r/>
            <w:r>
              <w:rPr>
                <w:rFonts w:ascii="Arial" w:hAnsi="Arial"/>
                <w:b w:val="0"/>
                <w:color w:val="000000"/>
                <w:sz w:val="18"/>
              </w:rPr>
              <w:t>Keiko Ward</w:t>
            </w:r>
          </w:p>
        </w:tc>
        <w:tc>
          <w:tcPr>
            <w:tcW w:type="dxa" w:w="2088"/>
            <w:vAlign w:val="center"/>
          </w:tcPr>
          <w:p>
            <w:pPr>
              <w:spacing w:after="40"/>
            </w:pPr>
            <w:r/>
            <w:r>
              <w:rPr>
                <w:rFonts w:ascii="Arial" w:hAnsi="Arial"/>
                <w:b w:val="0"/>
                <w:color w:val="000000"/>
                <w:sz w:val="18"/>
              </w:rPr>
              <w:t>Sequence demand or hold capacity.</w:t>
            </w:r>
          </w:p>
        </w:tc>
      </w:tr>
      <w:tr>
        <w:tc>
          <w:tcPr>
            <w:tcW w:type="dxa" w:w="2232"/>
            <w:vAlign w:val="center"/>
          </w:tcPr>
          <w:p>
            <w:pPr>
              <w:spacing w:after="40"/>
            </w:pPr>
            <w:r/>
            <w:r>
              <w:rPr>
                <w:rFonts w:ascii="Arial" w:hAnsi="Arial"/>
                <w:b w:val="0"/>
                <w:color w:val="000000"/>
                <w:sz w:val="18"/>
              </w:rPr>
              <w:t>Data confidence, not data volume, limits the current synthesis.</w:t>
            </w:r>
          </w:p>
        </w:tc>
        <w:tc>
          <w:tcPr>
            <w:tcW w:type="dxa" w:w="2664"/>
            <w:vAlign w:val="center"/>
          </w:tcPr>
          <w:p>
            <w:pPr>
              <w:spacing w:after="40"/>
            </w:pPr>
            <w:r/>
            <w:r>
              <w:rPr>
                <w:rFonts w:ascii="Arial" w:hAnsi="Arial"/>
                <w:b w:val="0"/>
                <w:color w:val="000000"/>
                <w:sz w:val="18"/>
              </w:rPr>
              <w:t>Classify inputs by traceability and decision relevance.</w:t>
            </w:r>
          </w:p>
        </w:tc>
        <w:tc>
          <w:tcPr>
            <w:tcW w:type="dxa" w:w="2160"/>
            <w:vAlign w:val="center"/>
          </w:tcPr>
          <w:p>
            <w:pPr>
              <w:spacing w:after="40"/>
            </w:pPr>
            <w:r/>
            <w:r>
              <w:rPr>
                <w:rFonts w:ascii="Arial" w:hAnsi="Arial"/>
                <w:b w:val="0"/>
                <w:color w:val="000000"/>
                <w:sz w:val="18"/>
              </w:rPr>
              <w:t>A small set of verified inputs changes the recommendation.</w:t>
            </w:r>
          </w:p>
        </w:tc>
        <w:tc>
          <w:tcPr>
            <w:tcW w:type="dxa" w:w="1584"/>
            <w:vAlign w:val="center"/>
          </w:tcPr>
          <w:p>
            <w:pPr>
              <w:spacing w:after="40"/>
            </w:pPr>
            <w:r/>
            <w:r>
              <w:rPr>
                <w:rFonts w:ascii="Arial" w:hAnsi="Arial"/>
                <w:b w:val="0"/>
                <w:color w:val="000000"/>
                <w:sz w:val="18"/>
              </w:rPr>
              <w:t>Theo Mercer</w:t>
            </w:r>
          </w:p>
        </w:tc>
        <w:tc>
          <w:tcPr>
            <w:tcW w:type="dxa" w:w="2088"/>
            <w:vAlign w:val="center"/>
          </w:tcPr>
          <w:p>
            <w:pPr>
              <w:spacing w:after="40"/>
            </w:pPr>
            <w:r/>
            <w:r>
              <w:rPr>
                <w:rFonts w:ascii="Arial" w:hAnsi="Arial"/>
                <w:b w:val="0"/>
                <w:color w:val="000000"/>
                <w:sz w:val="18"/>
              </w:rPr>
              <w:t>Use evidence tiers in deck.</w:t>
            </w:r>
          </w:p>
        </w:tc>
      </w:tr>
      <w:tr>
        <w:tc>
          <w:tcPr>
            <w:tcW w:type="dxa" w:w="2232"/>
            <w:vAlign w:val="center"/>
          </w:tcPr>
          <w:p>
            <w:pPr>
              <w:spacing w:after="40"/>
            </w:pPr>
            <w:r/>
            <w:r>
              <w:rPr>
                <w:rFonts w:ascii="Arial" w:hAnsi="Arial"/>
                <w:b w:val="0"/>
                <w:color w:val="000000"/>
                <w:sz w:val="18"/>
              </w:rPr>
              <w:t>A narrow Alpha recommendation will land better than a transformation narrative.</w:t>
            </w:r>
          </w:p>
        </w:tc>
        <w:tc>
          <w:tcPr>
            <w:tcW w:type="dxa" w:w="2664"/>
            <w:vAlign w:val="center"/>
          </w:tcPr>
          <w:p>
            <w:pPr>
              <w:spacing w:after="40"/>
            </w:pPr>
            <w:r/>
            <w:r>
              <w:rPr>
                <w:rFonts w:ascii="Arial" w:hAnsi="Arial"/>
                <w:b w:val="0"/>
                <w:color w:val="000000"/>
                <w:sz w:val="18"/>
              </w:rPr>
              <w:t>Pre-wire client reaction to two alternatives.</w:t>
            </w:r>
          </w:p>
        </w:tc>
        <w:tc>
          <w:tcPr>
            <w:tcW w:type="dxa" w:w="2160"/>
            <w:vAlign w:val="center"/>
          </w:tcPr>
          <w:p>
            <w:pPr>
              <w:spacing w:after="40"/>
            </w:pPr>
            <w:r/>
            <w:r>
              <w:rPr>
                <w:rFonts w:ascii="Arial" w:hAnsi="Arial"/>
                <w:b w:val="0"/>
                <w:color w:val="000000"/>
                <w:sz w:val="18"/>
              </w:rPr>
              <w:t>Stakeholders favor an actionable first step.</w:t>
            </w:r>
          </w:p>
        </w:tc>
        <w:tc>
          <w:tcPr>
            <w:tcW w:type="dxa" w:w="1584"/>
            <w:vAlign w:val="center"/>
          </w:tcPr>
          <w:p>
            <w:pPr>
              <w:spacing w:after="40"/>
            </w:pPr>
            <w:r/>
            <w:r>
              <w:rPr>
                <w:rFonts w:ascii="Arial" w:hAnsi="Arial"/>
                <w:b w:val="0"/>
                <w:color w:val="000000"/>
                <w:sz w:val="18"/>
              </w:rPr>
              <w:t>Avery Calder</w:t>
            </w:r>
          </w:p>
        </w:tc>
        <w:tc>
          <w:tcPr>
            <w:tcW w:type="dxa" w:w="2088"/>
            <w:vAlign w:val="center"/>
          </w:tcPr>
          <w:p>
            <w:pPr>
              <w:spacing w:after="40"/>
            </w:pPr>
            <w:r/>
            <w:r>
              <w:rPr>
                <w:rFonts w:ascii="Arial" w:hAnsi="Arial"/>
                <w:b w:val="0"/>
                <w:color w:val="000000"/>
                <w:sz w:val="18"/>
              </w:rPr>
              <w:t>Center Phase 1 recommendation.</w:t>
            </w:r>
          </w:p>
        </w:tc>
      </w:tr>
    </w:tbl>
    <w:p>
      <w:r>
        <w:br w:type="page"/>
      </w:r>
    </w:p>
    <w:p>
      <w:pPr>
        <w:pStyle w:val="Heading1"/>
      </w:pPr>
      <w:r>
        <w:t>Test plan and evidence standards</w:t>
      </w:r>
    </w:p>
    <w:p>
      <w:r>
        <w:t>The team will use short, traceable tests. Each test should be linked to a decision it can change; otherwise it belongs in a later implementation backlog. Evidence should identify its source, time period, owner, and material limitation. Where evidence is directional rather than validated, the working deck should label it as such rather than implying precision.</w:t>
      </w:r>
    </w:p>
    <w:p>
      <w:pPr>
        <w:pStyle w:val="Heading2"/>
      </w:pPr>
      <w:r>
        <w:t>Control cadence test</w:t>
      </w:r>
    </w:p>
    <w:p>
      <w:r>
        <w:t>Nina will map two recent decision paths and test whether a four-field gate—owner, evidence, spend implication, and due date—would have surfaced the hold point earlier. The result will inform the Finance control recommendation.</w:t>
      </w:r>
    </w:p>
    <w:p>
      <w:pPr>
        <w:pStyle w:val="Heading2"/>
      </w:pPr>
      <w:r>
        <w:t>Capacity test</w:t>
      </w:r>
    </w:p>
    <w:p>
      <w:r>
        <w:t>Keiko will reconcile the weekly staffing plan against both Alpha and Beta work. A capacity issue is material when it creates a missed gate, a quality trade-off, or an unplanned cost escalation.</w:t>
      </w:r>
    </w:p>
    <w:p>
      <w:pPr>
        <w:pStyle w:val="Heading2"/>
      </w:pPr>
      <w:r>
        <w:t>Data confidence test</w:t>
      </w:r>
    </w:p>
    <w:p>
      <w:r>
        <w:t>Theo will select the smallest set of inputs needed to distinguish between the leading options. He will document exceptions and identify any information that is currently insufficient for a spending decision.</w:t>
      </w:r>
    </w:p>
    <w:p>
      <w:pPr>
        <w:pStyle w:val="Heading2"/>
      </w:pPr>
      <w:r>
        <w:t>Stakeholder landing test</w:t>
      </w:r>
    </w:p>
    <w:p>
      <w:r>
        <w:t>Avery will pre-wire a concise, choice-based narrative with decision makers. The test is whether the audience can state the action, owner, and trade-off without additional interpretation.</w:t>
      </w:r>
    </w:p>
    <w:p>
      <w:pPr>
        <w:pStyle w:val="Heading1"/>
      </w:pPr>
      <w:r>
        <w:t>Evidence quality checklist</w:t>
      </w:r>
    </w:p>
    <w:p>
      <w:pPr>
        <w:pStyle w:val="ListBullet"/>
      </w:pPr>
      <w:r>
        <w:t>The evidence is relevant to a named hypothesis and decision.</w:t>
      </w:r>
    </w:p>
    <w:p>
      <w:pPr>
        <w:pStyle w:val="ListBullet"/>
      </w:pPr>
      <w:r>
        <w:t>The source and as-of date are visible to the reviewer.</w:t>
      </w:r>
    </w:p>
    <w:p>
      <w:pPr>
        <w:pStyle w:val="ListBullet"/>
      </w:pPr>
      <w:r>
        <w:t>The method is proportionate to the decision at stake.</w:t>
      </w:r>
    </w:p>
    <w:p>
      <w:pPr>
        <w:pStyle w:val="ListBullet"/>
      </w:pPr>
      <w:r>
        <w:t>A limitation is stated when it could change the conclusion.</w:t>
      </w:r>
    </w:p>
    <w:p>
      <w:r>
        <w:br w:type="page"/>
      </w:r>
    </w:p>
    <w:p>
      <w:pPr>
        <w:pStyle w:val="Heading1"/>
      </w:pPr>
      <w:r>
        <w:t>Recommendation shaping and governance</w:t>
      </w:r>
    </w:p>
    <w:p>
      <w:r>
        <w:t>If the hypotheses are supported, the Phase 1 recommendation should present a practical first move: establish the control cadence, protect scarce specialist capacity, and use evidence tiers to keep the steering conversation focused. The recommendation should state the expected benefit, the one or two dependencies that must be managed, the finance implication, and the specific decision requested from the client.</w:t>
      </w:r>
    </w:p>
    <w:tbl>
      <w:tblPr>
        <w:tblW w:type="auto" w:w="0"/>
        <w:jc w:val="left"/>
        <w:tblLayout w:type="fixed"/>
        <w:tblLook w:firstColumn="1" w:firstRow="1" w:lastColumn="0" w:lastRow="0" w:noHBand="0" w:noVBand="1" w:val="04A0"/>
      </w:tblPr>
      <w:tblGrid>
        <w:gridCol w:w="2484"/>
        <w:gridCol w:w="2484"/>
        <w:gridCol w:w="2484"/>
        <w:gridCol w:w="2484"/>
      </w:tblGrid>
      <w:tr>
        <w:tc>
          <w:tcPr>
            <w:tcW w:type="dxa" w:w="2016"/>
            <w:vAlign w:val="center"/>
            <w:shd w:fill="17365D"/>
          </w:tcPr>
          <w:p>
            <w:pPr>
              <w:spacing w:after="40"/>
            </w:pPr>
            <w:r/>
            <w:r>
              <w:rPr>
                <w:rFonts w:ascii="Arial" w:hAnsi="Arial"/>
                <w:b/>
                <w:color w:val="FFFFFF"/>
                <w:sz w:val="18"/>
              </w:rPr>
              <w:t>Workstream</w:t>
            </w:r>
          </w:p>
        </w:tc>
        <w:tc>
          <w:tcPr>
            <w:tcW w:type="dxa" w:w="4032"/>
            <w:vAlign w:val="center"/>
            <w:shd w:fill="17365D"/>
          </w:tcPr>
          <w:p>
            <w:pPr>
              <w:spacing w:after="40"/>
            </w:pPr>
            <w:r/>
            <w:r>
              <w:rPr>
                <w:rFonts w:ascii="Arial" w:hAnsi="Arial"/>
                <w:b/>
                <w:color w:val="FFFFFF"/>
                <w:sz w:val="18"/>
              </w:rPr>
              <w:t>Next action</w:t>
            </w:r>
          </w:p>
        </w:tc>
        <w:tc>
          <w:tcPr>
            <w:tcW w:type="dxa" w:w="2016"/>
            <w:vAlign w:val="center"/>
            <w:shd w:fill="17365D"/>
          </w:tcPr>
          <w:p>
            <w:pPr>
              <w:spacing w:after="40"/>
            </w:pPr>
            <w:r/>
            <w:r>
              <w:rPr>
                <w:rFonts w:ascii="Arial" w:hAnsi="Arial"/>
                <w:b/>
                <w:color w:val="FFFFFF"/>
                <w:sz w:val="18"/>
              </w:rPr>
              <w:t>Owner</w:t>
            </w:r>
          </w:p>
        </w:tc>
        <w:tc>
          <w:tcPr>
            <w:tcW w:type="dxa" w:w="1584"/>
            <w:vAlign w:val="center"/>
            <w:shd w:fill="17365D"/>
          </w:tcPr>
          <w:p>
            <w:pPr>
              <w:spacing w:after="40"/>
            </w:pPr>
            <w:r/>
            <w:r>
              <w:rPr>
                <w:rFonts w:ascii="Arial" w:hAnsi="Arial"/>
                <w:b/>
                <w:color w:val="FFFFFF"/>
                <w:sz w:val="18"/>
              </w:rPr>
              <w:t>Gate</w:t>
            </w:r>
          </w:p>
        </w:tc>
      </w:tr>
      <w:tr>
        <w:tc>
          <w:tcPr>
            <w:tcW w:type="dxa" w:w="2016"/>
            <w:vAlign w:val="center"/>
          </w:tcPr>
          <w:p>
            <w:pPr>
              <w:spacing w:after="40"/>
            </w:pPr>
            <w:r/>
            <w:r>
              <w:rPr>
                <w:rFonts w:ascii="Arial" w:hAnsi="Arial"/>
                <w:b w:val="0"/>
                <w:color w:val="000000"/>
                <w:sz w:val="18"/>
              </w:rPr>
              <w:t>Control cadence</w:t>
            </w:r>
          </w:p>
        </w:tc>
        <w:tc>
          <w:tcPr>
            <w:tcW w:type="dxa" w:w="4032"/>
            <w:vAlign w:val="center"/>
          </w:tcPr>
          <w:p>
            <w:pPr>
              <w:spacing w:after="40"/>
            </w:pPr>
            <w:r/>
            <w:r>
              <w:rPr>
                <w:rFonts w:ascii="Arial" w:hAnsi="Arial"/>
                <w:b w:val="0"/>
                <w:color w:val="000000"/>
                <w:sz w:val="18"/>
              </w:rPr>
              <w:t>Draft gate and review with Finance</w:t>
            </w:r>
          </w:p>
        </w:tc>
        <w:tc>
          <w:tcPr>
            <w:tcW w:type="dxa" w:w="2016"/>
            <w:vAlign w:val="center"/>
          </w:tcPr>
          <w:p>
            <w:pPr>
              <w:spacing w:after="40"/>
            </w:pPr>
            <w:r/>
            <w:r>
              <w:rPr>
                <w:rFonts w:ascii="Arial" w:hAnsi="Arial"/>
                <w:b w:val="0"/>
                <w:color w:val="000000"/>
                <w:sz w:val="18"/>
              </w:rPr>
              <w:t>Nina Solberg</w:t>
            </w:r>
          </w:p>
        </w:tc>
        <w:tc>
          <w:tcPr>
            <w:tcW w:type="dxa" w:w="1584"/>
            <w:vAlign w:val="center"/>
          </w:tcPr>
          <w:p>
            <w:pPr>
              <w:spacing w:after="40"/>
            </w:pPr>
            <w:r/>
            <w:r>
              <w:rPr>
                <w:rFonts w:ascii="Arial" w:hAnsi="Arial"/>
                <w:b w:val="0"/>
                <w:color w:val="000000"/>
                <w:sz w:val="18"/>
              </w:rPr>
              <w:t>16 Jul</w:t>
            </w:r>
          </w:p>
        </w:tc>
      </w:tr>
      <w:tr>
        <w:tc>
          <w:tcPr>
            <w:tcW w:type="dxa" w:w="2016"/>
            <w:vAlign w:val="center"/>
          </w:tcPr>
          <w:p>
            <w:pPr>
              <w:spacing w:after="40"/>
            </w:pPr>
            <w:r/>
            <w:r>
              <w:rPr>
                <w:rFonts w:ascii="Arial" w:hAnsi="Arial"/>
                <w:b w:val="0"/>
                <w:color w:val="000000"/>
                <w:sz w:val="18"/>
              </w:rPr>
              <w:t>Capacity</w:t>
            </w:r>
          </w:p>
        </w:tc>
        <w:tc>
          <w:tcPr>
            <w:tcW w:type="dxa" w:w="4032"/>
            <w:vAlign w:val="center"/>
          </w:tcPr>
          <w:p>
            <w:pPr>
              <w:spacing w:after="40"/>
            </w:pPr>
            <w:r/>
            <w:r>
              <w:rPr>
                <w:rFonts w:ascii="Arial" w:hAnsi="Arial"/>
                <w:b w:val="0"/>
                <w:color w:val="000000"/>
                <w:sz w:val="18"/>
              </w:rPr>
              <w:t>Publish reconciled Alpha/Beta plan</w:t>
            </w:r>
          </w:p>
        </w:tc>
        <w:tc>
          <w:tcPr>
            <w:tcW w:type="dxa" w:w="2016"/>
            <w:vAlign w:val="center"/>
          </w:tcPr>
          <w:p>
            <w:pPr>
              <w:spacing w:after="40"/>
            </w:pPr>
            <w:r/>
            <w:r>
              <w:rPr>
                <w:rFonts w:ascii="Arial" w:hAnsi="Arial"/>
                <w:b w:val="0"/>
                <w:color w:val="000000"/>
                <w:sz w:val="18"/>
              </w:rPr>
              <w:t>Keiko Ward</w:t>
            </w:r>
          </w:p>
        </w:tc>
        <w:tc>
          <w:tcPr>
            <w:tcW w:type="dxa" w:w="1584"/>
            <w:vAlign w:val="center"/>
          </w:tcPr>
          <w:p>
            <w:pPr>
              <w:spacing w:after="40"/>
            </w:pPr>
            <w:r/>
            <w:r>
              <w:rPr>
                <w:rFonts w:ascii="Arial" w:hAnsi="Arial"/>
                <w:b w:val="0"/>
                <w:color w:val="000000"/>
                <w:sz w:val="18"/>
              </w:rPr>
              <w:t>16 Jul</w:t>
            </w:r>
          </w:p>
        </w:tc>
      </w:tr>
      <w:tr>
        <w:tc>
          <w:tcPr>
            <w:tcW w:type="dxa" w:w="2016"/>
            <w:vAlign w:val="center"/>
          </w:tcPr>
          <w:p>
            <w:pPr>
              <w:spacing w:after="40"/>
            </w:pPr>
            <w:r/>
            <w:r>
              <w:rPr>
                <w:rFonts w:ascii="Arial" w:hAnsi="Arial"/>
                <w:b w:val="0"/>
                <w:color w:val="000000"/>
                <w:sz w:val="18"/>
              </w:rPr>
              <w:t>Data</w:t>
            </w:r>
          </w:p>
        </w:tc>
        <w:tc>
          <w:tcPr>
            <w:tcW w:type="dxa" w:w="4032"/>
            <w:vAlign w:val="center"/>
          </w:tcPr>
          <w:p>
            <w:pPr>
              <w:spacing w:after="40"/>
            </w:pPr>
            <w:r/>
            <w:r>
              <w:rPr>
                <w:rFonts w:ascii="Arial" w:hAnsi="Arial"/>
                <w:b w:val="0"/>
                <w:color w:val="000000"/>
                <w:sz w:val="18"/>
              </w:rPr>
              <w:t>Complete confidence classification</w:t>
            </w:r>
          </w:p>
        </w:tc>
        <w:tc>
          <w:tcPr>
            <w:tcW w:type="dxa" w:w="2016"/>
            <w:vAlign w:val="center"/>
          </w:tcPr>
          <w:p>
            <w:pPr>
              <w:spacing w:after="40"/>
            </w:pPr>
            <w:r/>
            <w:r>
              <w:rPr>
                <w:rFonts w:ascii="Arial" w:hAnsi="Arial"/>
                <w:b w:val="0"/>
                <w:color w:val="000000"/>
                <w:sz w:val="18"/>
              </w:rPr>
              <w:t>Theo Mercer</w:t>
            </w:r>
          </w:p>
        </w:tc>
        <w:tc>
          <w:tcPr>
            <w:tcW w:type="dxa" w:w="1584"/>
            <w:vAlign w:val="center"/>
          </w:tcPr>
          <w:p>
            <w:pPr>
              <w:spacing w:after="40"/>
            </w:pPr>
            <w:r/>
            <w:r>
              <w:rPr>
                <w:rFonts w:ascii="Arial" w:hAnsi="Arial"/>
                <w:b w:val="0"/>
                <w:color w:val="000000"/>
                <w:sz w:val="18"/>
              </w:rPr>
              <w:t>17 Jul</w:t>
            </w:r>
          </w:p>
        </w:tc>
      </w:tr>
      <w:tr>
        <w:tc>
          <w:tcPr>
            <w:tcW w:type="dxa" w:w="2016"/>
            <w:vAlign w:val="center"/>
          </w:tcPr>
          <w:p>
            <w:pPr>
              <w:spacing w:after="40"/>
            </w:pPr>
            <w:r/>
            <w:r>
              <w:rPr>
                <w:rFonts w:ascii="Arial" w:hAnsi="Arial"/>
                <w:b w:val="0"/>
                <w:color w:val="000000"/>
                <w:sz w:val="18"/>
              </w:rPr>
              <w:t>Narrative</w:t>
            </w:r>
          </w:p>
        </w:tc>
        <w:tc>
          <w:tcPr>
            <w:tcW w:type="dxa" w:w="4032"/>
            <w:vAlign w:val="center"/>
          </w:tcPr>
          <w:p>
            <w:pPr>
              <w:spacing w:after="40"/>
            </w:pPr>
            <w:r/>
            <w:r>
              <w:rPr>
                <w:rFonts w:ascii="Arial" w:hAnsi="Arial"/>
                <w:b w:val="0"/>
                <w:color w:val="000000"/>
                <w:sz w:val="18"/>
              </w:rPr>
              <w:t>Pre-wire recommendation choices</w:t>
            </w:r>
          </w:p>
        </w:tc>
        <w:tc>
          <w:tcPr>
            <w:tcW w:type="dxa" w:w="2016"/>
            <w:vAlign w:val="center"/>
          </w:tcPr>
          <w:p>
            <w:pPr>
              <w:spacing w:after="40"/>
            </w:pPr>
            <w:r/>
            <w:r>
              <w:rPr>
                <w:rFonts w:ascii="Arial" w:hAnsi="Arial"/>
                <w:b w:val="0"/>
                <w:color w:val="000000"/>
                <w:sz w:val="18"/>
              </w:rPr>
              <w:t>Avery Calder</w:t>
            </w:r>
          </w:p>
        </w:tc>
        <w:tc>
          <w:tcPr>
            <w:tcW w:type="dxa" w:w="1584"/>
            <w:vAlign w:val="center"/>
          </w:tcPr>
          <w:p>
            <w:pPr>
              <w:spacing w:after="40"/>
            </w:pPr>
            <w:r/>
            <w:r>
              <w:rPr>
                <w:rFonts w:ascii="Arial" w:hAnsi="Arial"/>
                <w:b w:val="0"/>
                <w:color w:val="000000"/>
                <w:sz w:val="18"/>
              </w:rPr>
              <w:t>17 Jul</w:t>
            </w:r>
          </w:p>
        </w:tc>
      </w:tr>
    </w:tbl>
    <w:p>
      <w:pPr>
        <w:pStyle w:val="Heading1"/>
      </w:pPr>
      <w:r>
        <w:t>Working conclusion</w:t>
      </w:r>
    </w:p>
    <w:p>
      <w:r>
        <w:t>The next synthesis should privilege decision usefulness over completeness. This draft will be updated after the four tests close, with any unsupported hypothesis either narrowed, reframed, or explicitly deferred to Client Beta Phase 2.</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Working draft • 13 July 2026 • Finance portfolio anchor: ¥42.8M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SUMMIT VALE ADVISORY  |  CLIENT ALPHA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5B9BD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