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Beta Phase 2 | Interview Pack</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A single, disciplined interview rhythm that turns operational observations into testable Phase 2 decisions.</w:t>
      </w:r>
    </w:p>
    <w:p>
      <w:pPr>
        <w:pStyle w:val="Heading1"/>
      </w:pPr>
      <w:r>
        <w:t>Objectives and interview context</w:t>
      </w:r>
    </w:p>
    <w:p>
      <w:r>
        <w:rPr>
          <w:rFonts w:ascii="Calibri" w:hAnsi="Calibri"/>
          <w:b w:val="0"/>
          <w:i w:val="0"/>
          <w:sz w:val="22"/>
        </w:rPr>
        <w:t>This document supports a structured conversation with cross-functional discovery program.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A single, disciplined interview rhythm that turns operational observations into testable Phase 2 decisions.</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The pack should separate fact-finding prompts from decision prompts so interviews remain comparable.</w:t>
      </w:r>
    </w:p>
    <w:p>
      <w:pPr>
        <w:pStyle w:val="ListNumber"/>
        <w:spacing w:after="80"/>
      </w:pPr>
      <w:r>
        <w:t>Interview order should begin with operating reality before asking stakeholders to endorse a solution.</w:t>
      </w:r>
    </w:p>
    <w:p>
      <w:pPr>
        <w:pStyle w:val="ListNumber"/>
        <w:spacing w:after="80"/>
      </w:pPr>
      <w:r>
        <w:t>A common close-out question will expose ownership gaps without forcing premature consensus.</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Avery Calder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Beta Phase 2 | Interview Pack</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