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Beta Operations Interview Guide</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Clarify where work flow, handoffs, and escalation routines create avoidable variation.</w:t>
      </w:r>
    </w:p>
    <w:p>
      <w:pPr>
        <w:pStyle w:val="Heading1"/>
      </w:pPr>
      <w:r>
        <w:t>Objectives and interview context</w:t>
      </w:r>
    </w:p>
    <w:p>
      <w:r>
        <w:rPr>
          <w:rFonts w:ascii="Calibri" w:hAnsi="Calibri"/>
          <w:b w:val="0"/>
          <w:i w:val="0"/>
          <w:sz w:val="22"/>
        </w:rPr>
        <w:t>This document supports a structured conversation with operations leadership and frontline supervisors.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Clarify where work flow, handoffs, and escalation routines create avoidable variation.</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Shift handoffs are more reliable when production priorities and exception thresholds are stated together.</w:t>
      </w:r>
    </w:p>
    <w:p>
      <w:pPr>
        <w:pStyle w:val="ListNumber"/>
        <w:spacing w:after="80"/>
      </w:pPr>
      <w:r>
        <w:t>The operating review can reduce rework if it distinguishes a service recovery from a permanent priority change.</w:t>
      </w:r>
    </w:p>
    <w:p>
      <w:pPr>
        <w:pStyle w:val="ListNumber"/>
        <w:spacing w:after="80"/>
      </w:pPr>
      <w:r>
        <w:t>A short escalation protocol may resolve cross-functional delays faster than a new report.</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Nina Solberg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Beta Operations Interview Guide</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