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Beta Phase 2 | Interview Synthesis</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The recurring issue is not isolated execution; it is inconsistent visibility across the daily management system.</w:t>
      </w:r>
    </w:p>
    <w:p>
      <w:pPr>
        <w:pStyle w:val="Heading1"/>
      </w:pPr>
      <w:r>
        <w:t>Objectives and interview context</w:t>
      </w:r>
    </w:p>
    <w:p>
      <w:r>
        <w:rPr>
          <w:rFonts w:ascii="Calibri" w:hAnsi="Calibri"/>
          <w:b w:val="0"/>
          <w:i w:val="0"/>
          <w:sz w:val="22"/>
        </w:rPr>
        <w:t>This document supports a structured conversation with executive and functional interview set.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The recurring issue is not isolated execution; it is inconsistent visibility across the daily management system.</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Interview themes point to a visibility problem that crosses reliability, quality, and flow.</w:t>
      </w:r>
    </w:p>
    <w:p>
      <w:pPr>
        <w:pStyle w:val="ListNumber"/>
        <w:spacing w:after="80"/>
      </w:pPr>
      <w:r>
        <w:t>The synthesis should preserve minority views where they identify a material operational risk.</w:t>
      </w:r>
    </w:p>
    <w:p>
      <w:pPr>
        <w:pStyle w:val="ListNumber"/>
        <w:spacing w:after="80"/>
      </w:pPr>
      <w:r>
        <w:t>The recommended intervention should target one shared behavior rather than create another meeting.</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Avery Calder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Beta Phase 2 | Interview Synthesis</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