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Maintenance Lead | Interview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Planned maintenance loses priority when short-term recovery work lacks a shared, visible trade-off.</w:t>
      </w:r>
    </w:p>
    <w:p>
      <w:pPr>
        <w:pStyle w:val="Heading1"/>
      </w:pPr>
      <w:r>
        <w:t>Objectives and interview context</w:t>
      </w:r>
    </w:p>
    <w:p>
      <w:r>
        <w:rPr>
          <w:rFonts w:ascii="Calibri" w:hAnsi="Calibri"/>
          <w:b w:val="0"/>
          <w:i w:val="0"/>
          <w:sz w:val="22"/>
        </w:rPr>
        <w:t>This document supports a structured conversation with maintenance lead.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Planned maintenance loses priority when short-term recovery work lacks a shared, visible trade-off.</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Recovery work should show the reliability debt it creates when planned work is displaced.</w:t>
      </w:r>
    </w:p>
    <w:p>
      <w:pPr>
        <w:pStyle w:val="ListNumber"/>
        <w:spacing w:after="80"/>
      </w:pPr>
      <w:r>
        <w:t>A shared decision rule can make maintenance deferrals visible before they become repeat events.</w:t>
      </w:r>
    </w:p>
    <w:p>
      <w:pPr>
        <w:pStyle w:val="ListNumber"/>
        <w:spacing w:after="80"/>
      </w:pPr>
      <w:r>
        <w:t>Maintenance and operations need one agreed trigger for escalating asset-risk trade-offs.</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Keiko Ward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Lead | Interview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