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Director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Operating cadence is established, yet the decision rules beneath it are interpreted differently by shift.</w:t>
      </w:r>
    </w:p>
    <w:p>
      <w:pPr>
        <w:pStyle w:val="Heading1"/>
      </w:pPr>
      <w:r>
        <w:t>Objectives and interview context</w:t>
      </w:r>
    </w:p>
    <w:p>
      <w:r>
        <w:rPr>
          <w:rFonts w:ascii="Calibri" w:hAnsi="Calibri"/>
          <w:b w:val="0"/>
          <w:i w:val="0"/>
          <w:sz w:val="22"/>
        </w:rPr>
        <w:t>This document supports a structured conversation with operations director.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Operating cadence is established, yet the decision rules beneath it are interpreted differently by shift.</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Daily cadence is strongest when a shift can explain the decision rule, not only the outcome.</w:t>
      </w:r>
    </w:p>
    <w:p>
      <w:pPr>
        <w:pStyle w:val="ListNumber"/>
        <w:spacing w:after="80"/>
      </w:pPr>
      <w:r>
        <w:t>Operating review agendas should surface unresolved cross-functional trade-offs early.</w:t>
      </w:r>
    </w:p>
    <w:p>
      <w:pPr>
        <w:pStyle w:val="ListNumber"/>
        <w:spacing w:after="80"/>
      </w:pPr>
      <w:r>
        <w:t>Sponsor attention should be reserved for thresholds that cannot be resolved at the operating level.</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Nina Solberg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Director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