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 Manager | Interview Notes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The plant needs a fact base that protects service while making capacity and reliability trade-offs visible.</w:t>
      </w:r>
    </w:p>
    <w:p>
      <w:pPr>
        <w:pStyle w:val="Heading1"/>
      </w:pPr>
      <w:r>
        <w:t>Objectives and interview context</w:t>
      </w:r>
    </w:p>
    <w:p>
      <w:r>
        <w:rPr>
          <w:rFonts w:ascii="Calibri" w:hAnsi="Calibri"/>
          <w:b w:val="0"/>
          <w:i w:val="0"/>
          <w:sz w:val="22"/>
        </w:rPr>
        <w:t>This document supports a structured conversation with plant manager.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The plant needs a fact base that protects service while making capacity and reliability trade-offs visible.</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Capacity recovery choices should make quality and reliability consequences visible at the same time.</w:t>
      </w:r>
    </w:p>
    <w:p>
      <w:pPr>
        <w:pStyle w:val="ListNumber"/>
        <w:spacing w:after="80"/>
      </w:pPr>
      <w:r>
        <w:t>The plant-level fact base should separate daily noise from repeatable constraints.</w:t>
      </w:r>
    </w:p>
    <w:p>
      <w:pPr>
        <w:pStyle w:val="ListNumber"/>
        <w:spacing w:after="80"/>
      </w:pPr>
      <w:r>
        <w:t>A weekly sponsor conversation can be shorter when daily decision rules are consistently applied.</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Avery Calder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Manager | Interview Notes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