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Quality Lead | Interview Notes</w:t>
      </w:r>
    </w:p>
    <w:p>
      <w:pPr>
        <w:spacing w:after="240"/>
      </w:pPr>
      <w:r>
        <w:rPr>
          <w:rFonts w:ascii="Calibri" w:hAnsi="Calibri"/>
          <w:b w:val="0"/>
          <w:i w:val="0"/>
          <w:color w:val="666666"/>
          <w:sz w:val="20"/>
        </w:rPr>
        <w:t>Summit Vale Advisory | Fictional Client Beta | Phase 2 discovery | As of 13 July 2026</w:t>
      </w:r>
    </w:p>
    <w:p>
      <w:r>
        <w:rPr>
          <w:rFonts w:ascii="Calibri" w:hAnsi="Calibri"/>
          <w:b/>
          <w:i w:val="0"/>
          <w:color w:val="1F4D78"/>
          <w:sz w:val="22"/>
        </w:rPr>
        <w:t xml:space="preserve">Purpose. </w:t>
      </w:r>
      <w:r>
        <w:rPr>
          <w:rFonts w:ascii="Calibri" w:hAnsi="Calibri"/>
          <w:b w:val="0"/>
          <w:i w:val="0"/>
          <w:sz w:val="22"/>
        </w:rPr>
        <w:t>Quality signals exist, but corrective-action learning is not consistently returned to the teams that create the work.</w:t>
      </w:r>
    </w:p>
    <w:p>
      <w:pPr>
        <w:pStyle w:val="Heading1"/>
      </w:pPr>
      <w:r>
        <w:t>Objectives and interview context</w:t>
      </w:r>
    </w:p>
    <w:p>
      <w:r>
        <w:rPr>
          <w:rFonts w:ascii="Calibri" w:hAnsi="Calibri"/>
          <w:b w:val="0"/>
          <w:i w:val="0"/>
          <w:sz w:val="22"/>
        </w:rPr>
        <w:t>This document supports a structured conversation with quality lead. It is a synthetic working record, designed to distinguish observed facts from interpretation and to preserve a clear route to the next decision.</w:t>
      </w:r>
    </w:p>
    <w:p>
      <w:r>
        <w:rPr>
          <w:rFonts w:ascii="Calibri" w:hAnsi="Calibri"/>
          <w:b/>
          <w:i w:val="0"/>
          <w:color w:val="1F4D78"/>
          <w:sz w:val="22"/>
        </w:rPr>
        <w:t xml:space="preserve">Portfolio context. </w:t>
      </w:r>
      <w:r>
        <w:rPr>
          <w:rFonts w:ascii="Calibri" w:hAnsi="Calibri"/>
          <w:b w:val="0"/>
          <w:i w:val="0"/>
          <w:sz w:val="22"/>
        </w:rPr>
        <w:t>Phase 2 follows portfolio work on Client Alpha Phase 1 Finance, where the approved budget reference was ¥42.8M. That reference is directional only: Client Beta decisions require their own evidence, operating constraints, and sponsor confirmation.</w:t>
      </w:r>
    </w:p>
    <w:p>
      <w:pPr>
        <w:pStyle w:val="Heading2"/>
      </w:pPr>
      <w:r>
        <w:t>Discussion objectives</w:t>
      </w:r>
    </w:p>
    <w:p>
      <w:pPr>
        <w:pStyle w:val="ListBullet"/>
        <w:spacing w:after="80"/>
      </w:pPr>
      <w:r>
        <w:t>Reconstruct a recent operating decision from signal through handoff and outcome.</w:t>
      </w:r>
    </w:p>
    <w:p>
      <w:pPr>
        <w:pStyle w:val="ListBullet"/>
        <w:spacing w:after="80"/>
      </w:pPr>
      <w:r>
        <w:t>Identify the point at which a local workaround becomes a recurring management-system issue.</w:t>
      </w:r>
    </w:p>
    <w:p>
      <w:pPr>
        <w:pStyle w:val="ListBullet"/>
        <w:spacing w:after="80"/>
      </w:pPr>
      <w:r>
        <w:t>Test whether the proposed intervention would improve service, reliability, quality, or cost without moving risk elsewhere.</w:t>
      </w:r>
    </w:p>
    <w:p>
      <w:pPr>
        <w:spacing w:before="100" w:after="160"/>
        <w:ind w:left="403" w:right="259"/>
      </w:pPr>
      <w:r>
        <w:rPr>
          <w:rFonts w:ascii="Calibri" w:hAnsi="Calibri"/>
          <w:b w:val="0"/>
          <w:i/>
          <w:color w:val="1F4D78"/>
          <w:sz w:val="20"/>
        </w:rPr>
        <w:t>Synthetic paraphrase — “We can manage variation when we see it early; the difficult days are the ones where each team is solving a different version of the same problem.”</w:t>
      </w:r>
    </w:p>
    <w:p>
      <w:r>
        <w:br w:type="page"/>
      </w:r>
    </w:p>
    <w:p>
      <w:pPr>
        <w:pStyle w:val="Heading1"/>
      </w:pPr>
      <w:r>
        <w:t>Evidence, hypotheses, and validation</w:t>
      </w:r>
    </w:p>
    <w:p>
      <w:r>
        <w:rPr>
          <w:rFonts w:ascii="Calibri" w:hAnsi="Calibri"/>
          <w:b w:val="0"/>
          <w:i w:val="0"/>
          <w:sz w:val="22"/>
        </w:rPr>
        <w:t>The notes below are intentionally framed as hypotheses rather than findings. Each should be tested against dated examples, system records, and perspectives from adjacent roles before it informs an executive choice.</w:t>
      </w:r>
    </w:p>
    <w:tbl>
      <w:tblPr>
        <w:tblStyle w:val="TableGrid"/>
        <w:tblW w:type="dxa" w:w="9360"/>
        <w:jc w:val="left"/>
        <w:tblLayout w:type="fixed"/>
        <w:tblLook w:firstColumn="1" w:firstRow="1" w:lastColumn="0" w:lastRow="0" w:noHBand="0" w:noVBand="1" w:val="04A0"/>
        <w:tblInd w:w="120" w:type="dxa"/>
      </w:tblPr>
      <w:tblGrid>
        <w:gridCol w:w="2500"/>
        <w:gridCol w:w="3450"/>
        <w:gridCol w:w="3410"/>
      </w:tblGrid>
      <w:tr>
        <w:tc>
          <w:tcPr>
            <w:tcW w:type="dxa" w:w="2500"/>
            <w:vAlign w:val="center"/>
            <w:tcMar>
              <w:top w:w="80" w:type="dxa"/>
              <w:bottom w:w="80" w:type="dxa"/>
              <w:start w:w="120" w:type="dxa"/>
              <w:end w:w="120" w:type="dxa"/>
            </w:tcMar>
            <w:shd w:fill="E8EEF5"/>
          </w:tcPr>
          <w:p>
            <w:r>
              <w:rPr>
                <w:rFonts w:ascii="Calibri" w:hAnsi="Calibri"/>
                <w:b/>
                <w:i w:val="0"/>
                <w:color w:val="1F4D78"/>
                <w:sz w:val="18"/>
              </w:rPr>
              <w:t>Evidence lens</w:t>
            </w:r>
          </w:p>
        </w:tc>
        <w:tc>
          <w:tcPr>
            <w:tcW w:type="dxa" w:w="3450"/>
            <w:vAlign w:val="center"/>
            <w:tcMar>
              <w:top w:w="80" w:type="dxa"/>
              <w:bottom w:w="80" w:type="dxa"/>
              <w:start w:w="120" w:type="dxa"/>
              <w:end w:w="120" w:type="dxa"/>
            </w:tcMar>
            <w:shd w:fill="E8EEF5"/>
          </w:tcPr>
          <w:p>
            <w:r>
              <w:rPr>
                <w:rFonts w:ascii="Calibri" w:hAnsi="Calibri"/>
                <w:b/>
                <w:i w:val="0"/>
                <w:color w:val="1F4D78"/>
                <w:sz w:val="18"/>
              </w:rPr>
              <w:t>Working signal</w:t>
            </w:r>
          </w:p>
        </w:tc>
        <w:tc>
          <w:tcPr>
            <w:tcW w:type="dxa" w:w="3410"/>
            <w:vAlign w:val="center"/>
            <w:tcMar>
              <w:top w:w="80" w:type="dxa"/>
              <w:bottom w:w="80" w:type="dxa"/>
              <w:start w:w="120" w:type="dxa"/>
              <w:end w:w="120" w:type="dxa"/>
            </w:tcMar>
            <w:shd w:fill="E8EEF5"/>
          </w:tcPr>
          <w:p>
            <w:r>
              <w:rPr>
                <w:rFonts w:ascii="Calibri" w:hAnsi="Calibri"/>
                <w:b/>
                <w:i w:val="0"/>
                <w:color w:val="1F4D78"/>
                <w:sz w:val="18"/>
              </w:rPr>
              <w:t>Owner / status</w:t>
            </w:r>
          </w:p>
        </w:tc>
      </w:tr>
      <w:tr>
        <w:tc>
          <w:tcPr>
            <w:tcW w:type="dxa" w:w="2500"/>
          </w:tcPr>
          <w:p>
            <w:r>
              <w:rPr>
                <w:rFonts w:ascii="Calibri" w:hAnsi="Calibri"/>
                <w:b w:val="0"/>
                <w:i w:val="0"/>
                <w:sz w:val="18"/>
              </w:rPr>
              <w:t>Observation</w:t>
            </w:r>
          </w:p>
        </w:tc>
        <w:tc>
          <w:tcPr>
            <w:tcW w:type="dxa" w:w="3450"/>
          </w:tcPr>
          <w:p>
            <w:r>
              <w:rPr>
                <w:rFonts w:ascii="Calibri" w:hAnsi="Calibri"/>
                <w:b w:val="0"/>
                <w:i w:val="0"/>
                <w:sz w:val="18"/>
              </w:rPr>
              <w:t>Quality signals exist, but corrective-action learning is not consistently returned to the teams that create the work.</w:t>
            </w:r>
          </w:p>
        </w:tc>
        <w:tc>
          <w:tcPr>
            <w:tcW w:type="dxa" w:w="3410"/>
          </w:tcPr>
          <w:p>
            <w:r>
              <w:rPr>
                <w:rFonts w:ascii="Calibri" w:hAnsi="Calibri"/>
                <w:b w:val="0"/>
                <w:i w:val="0"/>
                <w:sz w:val="18"/>
              </w:rPr>
              <w:t>Avery Calder / validate</w:t>
            </w:r>
          </w:p>
        </w:tc>
      </w:tr>
      <w:tr>
        <w:tc>
          <w:tcPr>
            <w:tcW w:type="dxa" w:w="2500"/>
          </w:tcPr>
          <w:p>
            <w:r>
              <w:rPr>
                <w:rFonts w:ascii="Calibri" w:hAnsi="Calibri"/>
                <w:b w:val="0"/>
                <w:i w:val="0"/>
                <w:sz w:val="18"/>
              </w:rPr>
              <w:t>Evidence request</w:t>
            </w:r>
          </w:p>
        </w:tc>
        <w:tc>
          <w:tcPr>
            <w:tcW w:type="dxa" w:w="3450"/>
          </w:tcPr>
          <w:p>
            <w:r>
              <w:rPr>
                <w:rFonts w:ascii="Calibri" w:hAnsi="Calibri"/>
                <w:b w:val="0"/>
                <w:i w:val="0"/>
                <w:sz w:val="18"/>
              </w:rPr>
              <w:t>Shift-level examples, recent exceptions, and the rule used to decide.</w:t>
            </w:r>
          </w:p>
        </w:tc>
        <w:tc>
          <w:tcPr>
            <w:tcW w:type="dxa" w:w="3410"/>
          </w:tcPr>
          <w:p>
            <w:r>
              <w:rPr>
                <w:rFonts w:ascii="Calibri" w:hAnsi="Calibri"/>
                <w:b w:val="0"/>
                <w:i w:val="0"/>
                <w:sz w:val="18"/>
              </w:rPr>
              <w:t>Nina Solberg / in progress</w:t>
            </w:r>
          </w:p>
        </w:tc>
      </w:tr>
      <w:tr>
        <w:tc>
          <w:tcPr>
            <w:tcW w:type="dxa" w:w="2500"/>
          </w:tcPr>
          <w:p>
            <w:r>
              <w:rPr>
                <w:rFonts w:ascii="Calibri" w:hAnsi="Calibri"/>
                <w:b w:val="0"/>
                <w:i w:val="0"/>
                <w:sz w:val="18"/>
              </w:rPr>
              <w:t>Decision use</w:t>
            </w:r>
          </w:p>
        </w:tc>
        <w:tc>
          <w:tcPr>
            <w:tcW w:type="dxa" w:w="3450"/>
          </w:tcPr>
          <w:p>
            <w:r>
              <w:rPr>
                <w:rFonts w:ascii="Calibri" w:hAnsi="Calibri"/>
                <w:b w:val="0"/>
                <w:i w:val="0"/>
                <w:sz w:val="18"/>
              </w:rPr>
              <w:t>Confirm, refine, or retire the hypothesis before the Phase 2 checkpoint.</w:t>
            </w:r>
          </w:p>
        </w:tc>
        <w:tc>
          <w:tcPr>
            <w:tcW w:type="dxa" w:w="3410"/>
          </w:tcPr>
          <w:p>
            <w:r>
              <w:rPr>
                <w:rFonts w:ascii="Calibri" w:hAnsi="Calibri"/>
                <w:b w:val="0"/>
                <w:i w:val="0"/>
                <w:sz w:val="18"/>
              </w:rPr>
              <w:t>Theo Mercer / pending</w:t>
            </w:r>
          </w:p>
        </w:tc>
      </w:tr>
    </w:tbl>
    <w:p>
      <w:pPr>
        <w:pStyle w:val="Heading2"/>
      </w:pPr>
      <w:r>
        <w:t>Hypotheses to test</w:t>
      </w:r>
    </w:p>
    <w:p>
      <w:pPr>
        <w:pStyle w:val="ListNumber"/>
        <w:spacing w:after="80"/>
      </w:pPr>
      <w:r>
        <w:t>Corrective-action learning needs a defined return path to the shift that created the condition.</w:t>
      </w:r>
    </w:p>
    <w:p>
      <w:pPr>
        <w:pStyle w:val="ListNumber"/>
        <w:spacing w:after="80"/>
      </w:pPr>
      <w:r>
        <w:t>Quality signals gain value when they are paired with the process decision that preceded them.</w:t>
      </w:r>
    </w:p>
    <w:p>
      <w:pPr>
        <w:pStyle w:val="ListNumber"/>
        <w:spacing w:after="80"/>
      </w:pPr>
      <w:r>
        <w:t>A closed-loop review can distinguish recurring cause patterns from isolated escapes.</w:t>
      </w:r>
    </w:p>
    <w:p>
      <w:pPr>
        <w:pStyle w:val="Heading2"/>
      </w:pPr>
      <w:r>
        <w:t>Paraphrased synthetic notes</w:t>
      </w:r>
    </w:p>
    <w:p>
      <w:r>
        <w:rPr>
          <w:rFonts w:ascii="Calibri" w:hAnsi="Calibri"/>
          <w:b w:val="0"/>
          <w:i w:val="0"/>
          <w:sz w:val="22"/>
        </w:rPr>
        <w:t>The interviewee described a preference for simple routines that help teams decide with the same facts. They emphasized that adding reports would not solve a handoff problem unless the report triggers a named decision, owner, and response window.</w:t>
      </w:r>
    </w:p>
    <w:p>
      <w:pPr>
        <w:spacing w:before="100" w:after="160"/>
        <w:ind w:left="403" w:right="259"/>
      </w:pPr>
      <w:r>
        <w:rPr>
          <w:rFonts w:ascii="Calibri" w:hAnsi="Calibri"/>
          <w:b w:val="0"/>
          <w:i/>
          <w:color w:val="1F4D78"/>
          <w:sz w:val="20"/>
        </w:rPr>
        <w:t>Synthetic paraphrase — “A dashboard earns its place only when someone can say what they will do differently before the next shift.”</w:t>
      </w:r>
    </w:p>
    <w:p>
      <w:r>
        <w:rPr>
          <w:rFonts w:ascii="Calibri" w:hAnsi="Calibri"/>
          <w:b w:val="0"/>
          <w:i w:val="0"/>
          <w:sz w:val="22"/>
        </w:rPr>
        <w:t>Counterevidence to seek: examples where existing meetings already resolve the issue reliably, where the apparent gap comes from a one-off event, or where a recommended measure would create distracting administrative work.</w:t>
      </w:r>
    </w:p>
    <w:p>
      <w:r>
        <w:br w:type="page"/>
      </w:r>
    </w:p>
    <w:p>
      <w:pPr>
        <w:pStyle w:val="Heading1"/>
      </w:pPr>
      <w:r>
        <w:t>Actions, ownership, and checkpoint</w:t>
      </w:r>
    </w:p>
    <w:p>
      <w:r>
        <w:rPr>
          <w:rFonts w:ascii="Calibri" w:hAnsi="Calibri"/>
          <w:b w:val="0"/>
          <w:i w:val="0"/>
          <w:sz w:val="22"/>
        </w:rPr>
        <w:t>The immediate goal is a focused evidence sprint, not a broad redesign. Avery Calder coordinates the narrative; Nina Solberg owns operating-routine validation; Theo Mercer checks economic and governance implications; Keiko Ward pressure-tests reliability and quality dependencies.</w:t>
      </w:r>
    </w:p>
    <w:p>
      <w:pPr>
        <w:pStyle w:val="Heading2"/>
      </w:pPr>
      <w:r>
        <w:t>Next actions</w:t>
      </w:r>
    </w:p>
    <w:p>
      <w:pPr>
        <w:pStyle w:val="ListNumber"/>
        <w:spacing w:after="80"/>
      </w:pPr>
      <w:r>
        <w:t>Collect two recent examples with timestamps, the initiating signal, decision maker, and outcome.</w:t>
      </w:r>
    </w:p>
    <w:p>
      <w:pPr>
        <w:pStyle w:val="ListNumber"/>
        <w:spacing w:after="80"/>
      </w:pPr>
      <w:r>
        <w:t>Compare the examples with the planned daily-management cadence and identify the smallest changed behavior that would matter.</w:t>
      </w:r>
    </w:p>
    <w:p>
      <w:pPr>
        <w:pStyle w:val="ListNumber"/>
        <w:spacing w:after="80"/>
      </w:pPr>
      <w:r>
        <w:t>Bring a confirm / refine / retire recommendation to the Phase 2 checkpoint with an explicit confidence level.</w:t>
      </w:r>
    </w:p>
    <w:p>
      <w:pPr>
        <w:pStyle w:val="Heading2"/>
      </w:pPr>
      <w:r>
        <w:t>Decision criteria</w:t>
      </w:r>
    </w:p>
    <w:p>
      <w:pPr>
        <w:pStyle w:val="ListBullet"/>
        <w:spacing w:after="80"/>
      </w:pPr>
      <w:r>
        <w:t>Evidence is triangulated across at least two functional perspectives.</w:t>
      </w:r>
    </w:p>
    <w:p>
      <w:pPr>
        <w:pStyle w:val="ListBullet"/>
        <w:spacing w:after="80"/>
      </w:pPr>
      <w:r>
        <w:t>The proposed action has a named accountable owner and can be observed within the next operating cycle.</w:t>
      </w:r>
    </w:p>
    <w:p>
      <w:pPr>
        <w:pStyle w:val="ListBullet"/>
        <w:spacing w:after="80"/>
      </w:pPr>
      <w:r>
        <w:t>Benefits and displacement risks are stated in plain language for the sponsor group.</w:t>
      </w:r>
    </w:p>
    <w:p>
      <w:r>
        <w:rPr>
          <w:rFonts w:ascii="Calibri" w:hAnsi="Calibri"/>
          <w:b/>
          <w:i w:val="0"/>
          <w:color w:val="1F4D78"/>
          <w:sz w:val="22"/>
        </w:rPr>
        <w:t xml:space="preserve">Document control. </w:t>
      </w:r>
      <w:r>
        <w:rPr>
          <w:rFonts w:ascii="Calibri" w:hAnsi="Calibri"/>
          <w:b w:val="0"/>
          <w:i w:val="0"/>
          <w:sz w:val="22"/>
        </w:rPr>
        <w:t>Status: working draft for internal discovery use. This fictional document contains synthetic paraphrases and is not a record of an actual interview.</w:t>
      </w:r>
    </w:p>
    <w:sectPr w:rsidR="00FC693F" w:rsidRPr="0006063C" w:rsidSect="00034616">
      <w:headerReference w:type="default" r:id="rId9"/>
      <w:footerReference w:type="default" r:id="rId10"/>
      <w:pgSz w:w="12240" w:h="15840"/>
      <w:pgMar w:top="1037" w:right="1440" w:bottom="103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6"/>
      </w:rPr>
      <w:t xml:space="preserve">Confidential working document  |  Owner: Keiko Ward  |  Version 1.0  |  13 Jul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66666"/>
        <w:sz w:val="16"/>
      </w:rPr>
      <w:t>SUMMIT VALE ADVISORY  |  CLIENT BETA PHASE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2E74B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Lead | Interview Notes</dc:title>
  <dc:subject>Fictional Client Beta Phase 2 interview material</dc:subject>
  <dc:creator>Summit Vale Advisory</dc:creator>
  <cp:keywords/>
  <dc:description>Synthetic notes for planning use.</dc:description>
  <cp:lastModifiedBy/>
  <cp:revision>1</cp:revision>
  <dcterms:created xsi:type="dcterms:W3CDTF">2013-12-23T23:15:00Z</dcterms:created>
  <dcterms:modified xsi:type="dcterms:W3CDTF">2013-12-23T23:15:00Z</dcterms:modified>
  <cp:category/>
</cp:coreProperties>
</file>