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Shift Supervisor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Supervisors can stabilize the day when priorities are explicit; ambiguity produces different local workarounds.</w:t>
      </w:r>
    </w:p>
    <w:p>
      <w:pPr>
        <w:pStyle w:val="Heading1"/>
      </w:pPr>
      <w:r>
        <w:t>Objectives and interview context</w:t>
      </w:r>
    </w:p>
    <w:p>
      <w:r>
        <w:rPr>
          <w:rFonts w:ascii="Calibri" w:hAnsi="Calibri"/>
          <w:b w:val="0"/>
          <w:i w:val="0"/>
          <w:sz w:val="22"/>
        </w:rPr>
        <w:t>This document supports a structured conversation with shift supervisor.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Supervisors can stabilize the day when priorities are explicit; ambiguity produces different local workarounds.</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Supervisors need an explicit hierarchy for resolving competing service, safety, and throughput requests.</w:t>
      </w:r>
    </w:p>
    <w:p>
      <w:pPr>
        <w:pStyle w:val="ListNumber"/>
        <w:spacing w:after="80"/>
      </w:pPr>
      <w:r>
        <w:t>Shift huddles can surface risk earlier if local workarounds are logged as decisions, not anecdotes.</w:t>
      </w:r>
    </w:p>
    <w:p>
      <w:pPr>
        <w:pStyle w:val="ListNumber"/>
        <w:spacing w:after="80"/>
      </w:pPr>
      <w:r>
        <w:t>The escalation threshold should be usable under time pressure without consulting multiple systems.</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Nina Solberg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 Supervisor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