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Chain Lead | Interview Notes</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Material availability decisions would improve with earlier signals about schedule changes and consumption risk.</w:t>
      </w:r>
    </w:p>
    <w:p>
      <w:pPr>
        <w:pStyle w:val="Heading1"/>
      </w:pPr>
      <w:r>
        <w:t>Objectives and interview context</w:t>
      </w:r>
    </w:p>
    <w:p>
      <w:r>
        <w:rPr>
          <w:rFonts w:ascii="Calibri" w:hAnsi="Calibri"/>
          <w:b w:val="0"/>
          <w:i w:val="0"/>
          <w:sz w:val="22"/>
        </w:rPr>
        <w:t>This document supports a structured conversation with supply chain lead.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Material availability decisions would improve with earlier signals about schedule changes and consumption risk.</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Schedule changes should trigger an early material-risk review before consumption becomes constrained.</w:t>
      </w:r>
    </w:p>
    <w:p>
      <w:pPr>
        <w:pStyle w:val="ListNumber"/>
        <w:spacing w:after="80"/>
      </w:pPr>
      <w:r>
        <w:t>Supply-chain exceptions need a shared definition of what requires plant-level reprioritization.</w:t>
      </w:r>
    </w:p>
    <w:p>
      <w:pPr>
        <w:pStyle w:val="ListNumber"/>
        <w:spacing w:after="80"/>
      </w:pPr>
      <w:r>
        <w:t>The planning cadence can reduce expediting when operations provides a credible forward signal.</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Theo Mercer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Lead | Interview Notes</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