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666666"/>
          <w:sz w:val="24"/>
        </w:rPr>
        <w:t>SUMMIT VALE ADVISORY</w:t>
      </w:r>
    </w:p>
    <w:p>
      <w:pPr>
        <w:pStyle w:val="Title"/>
        <w:jc w:val="center"/>
      </w:pPr>
      <w:r>
        <w:t>Proposal Assumptions and Exclusions</w:t>
      </w:r>
    </w:p>
    <w:p>
      <w:pPr>
        <w:pStyle w:val="Subtitle"/>
        <w:jc w:val="center"/>
      </w:pPr>
      <w:r>
        <w:t>A focused engagement to accelerate decisions, mobilize ownership, and deliver measurable value</w:t>
      </w:r>
    </w:p>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bottom w:w="80" w:type="dxa"/>
              <w:start w:w="120" w:type="dxa"/>
              <w:end w:w="120" w:type="dxa"/>
            </w:tcMar>
          </w:tcPr>
          <w:p>
            <w:pPr>
              <w:jc w:val="left"/>
            </w:pPr>
            <w:r>
              <w:rPr>
                <w:rFonts w:ascii="Calibri" w:hAnsi="Calibri"/>
                <w:b/>
                <w:i w:val="0"/>
                <w:color w:val="1F4D78"/>
                <w:sz w:val="18"/>
              </w:rPr>
              <w:t>Prepared for</w:t>
            </w:r>
          </w:p>
        </w:tc>
        <w:tc>
          <w:tcPr>
            <w:tcW w:type="dxa" w:w="2340"/>
            <w:shd w:fill="F2F4F7"/>
            <w:vAlign w:val="center"/>
            <w:tcMar>
              <w:top w:w="80" w:type="dxa"/>
              <w:bottom w:w="80" w:type="dxa"/>
              <w:start w:w="120" w:type="dxa"/>
              <w:end w:w="120" w:type="dxa"/>
            </w:tcMar>
          </w:tcPr>
          <w:p>
            <w:pPr>
              <w:jc w:val="left"/>
            </w:pPr>
            <w:r>
              <w:rPr>
                <w:rFonts w:ascii="Calibri" w:hAnsi="Calibri"/>
                <w:b/>
                <w:i w:val="0"/>
                <w:color w:val="1F4D78"/>
                <w:sz w:val="18"/>
              </w:rPr>
              <w:t>Engagement</w:t>
            </w:r>
          </w:p>
        </w:tc>
        <w:tc>
          <w:tcPr>
            <w:tcW w:type="dxa" w:w="2340"/>
            <w:shd w:fill="F2F4F7"/>
            <w:vAlign w:val="center"/>
            <w:tcMar>
              <w:top w:w="80" w:type="dxa"/>
              <w:bottom w:w="80" w:type="dxa"/>
              <w:start w:w="120" w:type="dxa"/>
              <w:end w:w="120" w:type="dxa"/>
            </w:tcMar>
          </w:tcPr>
          <w:p>
            <w:pPr>
              <w:jc w:val="left"/>
            </w:pPr>
            <w:r>
              <w:rPr>
                <w:rFonts w:ascii="Calibri" w:hAnsi="Calibri"/>
                <w:b/>
                <w:i w:val="0"/>
                <w:color w:val="1F4D78"/>
                <w:sz w:val="18"/>
              </w:rPr>
              <w:t>Investment</w:t>
            </w:r>
          </w:p>
        </w:tc>
        <w:tc>
          <w:tcPr>
            <w:tcW w:type="dxa" w:w="2340"/>
            <w:shd w:fill="F2F4F7"/>
            <w:vAlign w:val="center"/>
            <w:tcMar>
              <w:top w:w="80" w:type="dxa"/>
              <w:bottom w:w="80" w:type="dxa"/>
              <w:start w:w="120" w:type="dxa"/>
              <w:end w:w="120" w:type="dxa"/>
            </w:tcMar>
          </w:tcPr>
          <w:p>
            <w:pPr>
              <w:jc w:val="left"/>
            </w:pPr>
            <w:r>
              <w:rPr>
                <w:rFonts w:ascii="Calibri" w:hAnsi="Calibri"/>
                <w:b/>
                <w:i w:val="0"/>
                <w:color w:val="1F4D78"/>
                <w:sz w:val="18"/>
              </w:rPr>
              <w:t>Duration</w:t>
            </w:r>
          </w:p>
        </w:tc>
      </w:tr>
      <w:tr>
        <w:tc>
          <w:tcPr>
            <w:tcW w:type="dxa" w:w="2340"/>
            <w:vAlign w:val="center"/>
            <w:tcMar>
              <w:top w:w="80" w:type="dxa"/>
              <w:bottom w:w="80" w:type="dxa"/>
              <w:start w:w="120" w:type="dxa"/>
              <w:end w:w="120" w:type="dxa"/>
            </w:tcMar>
          </w:tcPr>
          <w:p>
            <w:pPr>
              <w:spacing w:after="0"/>
            </w:pPr>
            <w:r>
              <w:rPr>
                <w:rFonts w:ascii="Calibri" w:hAnsi="Calibri"/>
                <w:b w:val="0"/>
                <w:i w:val="0"/>
                <w:color w:val="000000"/>
                <w:sz w:val="18"/>
              </w:rPr>
              <w:t>Commercial and delivery stakeholders</w:t>
            </w:r>
          </w:p>
        </w:tc>
        <w:tc>
          <w:tcPr>
            <w:tcW w:type="dxa" w:w="2340"/>
            <w:vAlign w:val="center"/>
            <w:tcMar>
              <w:top w:w="80" w:type="dxa"/>
              <w:bottom w:w="80" w:type="dxa"/>
              <w:start w:w="120" w:type="dxa"/>
              <w:end w:w="120" w:type="dxa"/>
            </w:tcMar>
          </w:tcPr>
          <w:p>
            <w:pPr>
              <w:spacing w:after="0"/>
            </w:pPr>
            <w:r>
              <w:rPr>
                <w:rFonts w:ascii="Calibri" w:hAnsi="Calibri"/>
                <w:b w:val="0"/>
                <w:i w:val="0"/>
                <w:color w:val="000000"/>
                <w:sz w:val="18"/>
              </w:rPr>
              <w:t>cross-proposal delivery assumptions, dependencies, and exclusions</w:t>
            </w:r>
          </w:p>
        </w:tc>
        <w:tc>
          <w:tcPr>
            <w:tcW w:type="dxa" w:w="2340"/>
            <w:vAlign w:val="center"/>
            <w:tcMar>
              <w:top w:w="80" w:type="dxa"/>
              <w:bottom w:w="80" w:type="dxa"/>
              <w:start w:w="120" w:type="dxa"/>
              <w:end w:w="120" w:type="dxa"/>
            </w:tcMar>
          </w:tcPr>
          <w:p>
            <w:pPr>
              <w:spacing w:after="0"/>
            </w:pPr>
            <w:r>
              <w:rPr>
                <w:rFonts w:ascii="Calibri" w:hAnsi="Calibri"/>
                <w:b w:val="0"/>
                <w:i w:val="0"/>
                <w:color w:val="000000"/>
                <w:sz w:val="18"/>
              </w:rPr>
              <w:t>JPY 0.0M</w:t>
            </w:r>
          </w:p>
        </w:tc>
        <w:tc>
          <w:tcPr>
            <w:tcW w:type="dxa" w:w="2340"/>
            <w:vAlign w:val="center"/>
            <w:tcMar>
              <w:top w:w="80" w:type="dxa"/>
              <w:bottom w:w="80" w:type="dxa"/>
              <w:start w:w="120" w:type="dxa"/>
              <w:end w:w="120" w:type="dxa"/>
            </w:tcMar>
          </w:tcPr>
          <w:p>
            <w:pPr>
              <w:spacing w:after="0"/>
            </w:pPr>
            <w:r>
              <w:rPr>
                <w:rFonts w:ascii="Calibri" w:hAnsi="Calibri"/>
                <w:b w:val="0"/>
                <w:i w:val="0"/>
                <w:color w:val="000000"/>
                <w:sz w:val="18"/>
              </w:rPr>
              <w:t>Reference</w:t>
            </w:r>
          </w:p>
        </w:tc>
      </w:tr>
    </w:tbl>
    <w:p>
      <w:pPr>
        <w:pStyle w:val="Heading1"/>
        <w:keepLines/>
      </w:pPr>
      <w:r>
        <w:t>Purpose</w:t>
      </w:r>
    </w:p>
    <w:p>
      <w:pPr>
        <w:keepLines/>
      </w:pPr>
      <w:r>
        <w:t>Summit Vale Advisory proposes a practical assumptions engagement designed to give leaders a fact-based view, a disciplined path to action, and a cadence that sustains momentum beyond the assignment.</w:t>
      </w:r>
    </w:p>
    <w:p>
      <w:pPr>
        <w:jc w:val="center"/>
      </w:pPr>
      <w:r>
        <w:rPr>
          <w:rFonts w:ascii="Calibri" w:hAnsi="Calibri"/>
          <w:b w:val="0"/>
          <w:i w:val="0"/>
          <w:color w:val="666666"/>
          <w:sz w:val="16"/>
        </w:rPr>
        <w:t>13 July 2026 | Confidential | All companies, figures, and examples in this document are synthetic.</w:t>
      </w:r>
    </w:p>
    <w:p>
      <w:r>
        <w:br w:type="page"/>
      </w:r>
    </w:p>
    <w:p>
      <w:pPr>
        <w:pStyle w:val="Heading1"/>
        <w:keepLines/>
      </w:pPr>
      <w:r>
        <w:t>Executive perspective</w:t>
      </w:r>
    </w:p>
    <w:p>
      <w:pPr>
        <w:keepLines/>
      </w:pPr>
      <w:r>
        <w:t>Assumptions work succeeds when evidence, choices, and accountable execution are treated as one management system. Our team will align leaders on the highest-value questions, establish a transparent fact base, and convert decisions into an owned delivery agenda.</w:t>
      </w:r>
    </w:p>
    <w:p>
      <w:pPr>
        <w:pStyle w:val="Heading2"/>
        <w:keepLines/>
      </w:pPr>
      <w:r>
        <w:t>What we will address</w:t>
      </w:r>
    </w:p>
    <w:p>
      <w:pPr>
        <w:pStyle w:val="ListBullet"/>
        <w:spacing w:after="80" w:line="290" w:lineRule="auto"/>
      </w:pPr>
      <w:r>
        <w:t>Clarify the critical decisions and value hypotheses for cross-proposal delivery assumptions, dependencies, and exclusions.</w:t>
      </w:r>
    </w:p>
    <w:p>
      <w:pPr>
        <w:pStyle w:val="ListBullet"/>
        <w:spacing w:after="80" w:line="290" w:lineRule="auto"/>
      </w:pPr>
      <w:r>
        <w:t>Build a shared baseline from management data, targeted interviews, and working sessions.</w:t>
      </w:r>
    </w:p>
    <w:p>
      <w:pPr>
        <w:pStyle w:val="ListBullet"/>
        <w:spacing w:after="80" w:line="290" w:lineRule="auto"/>
      </w:pPr>
      <w:r>
        <w:t>Translate findings into a prioritized roadmap with owners, measures, and escalation paths.</w:t>
      </w:r>
    </w:p>
    <w:p>
      <w:pPr>
        <w:pStyle w:val="Heading1"/>
        <w:keepLines/>
      </w:pPr>
      <w:r>
        <w:t>Scope and deliverables</w:t>
      </w:r>
    </w:p>
    <w:tbl>
      <w:tblPr>
        <w:tblStyle w:val="TableGrid"/>
        <w:tblW w:type="dxa" w:w="9360"/>
        <w:jc w:val="left"/>
        <w:tblLayout w:type="fixed"/>
        <w:tblLook w:firstColumn="1" w:firstRow="1" w:lastColumn="0" w:lastRow="0" w:noHBand="0" w:noVBand="1" w:val="04A0"/>
        <w:tblInd w:w="120" w:type="dxa"/>
      </w:tblPr>
      <w:tblGrid>
        <w:gridCol w:w="1800"/>
        <w:gridCol w:w="3960"/>
        <w:gridCol w:w="3600"/>
      </w:tblGrid>
      <w:tr>
        <w:tc>
          <w:tcPr>
            <w:tcW w:type="dxa" w:w="1800"/>
            <w:shd w:fill="F2F4F7"/>
            <w:vAlign w:val="center"/>
            <w:tcMar>
              <w:top w:w="80" w:type="dxa"/>
              <w:bottom w:w="80" w:type="dxa"/>
              <w:start w:w="120" w:type="dxa"/>
              <w:end w:w="120" w:type="dxa"/>
            </w:tcMar>
          </w:tcPr>
          <w:p>
            <w:pPr>
              <w:jc w:val="left"/>
            </w:pPr>
            <w:r>
              <w:rPr>
                <w:rFonts w:ascii="Calibri" w:hAnsi="Calibri"/>
                <w:b/>
                <w:i w:val="0"/>
                <w:color w:val="1F4D78"/>
                <w:sz w:val="18"/>
              </w:rPr>
              <w:t>Workstream</w:t>
            </w:r>
          </w:p>
        </w:tc>
        <w:tc>
          <w:tcPr>
            <w:tcW w:type="dxa" w:w="3960"/>
            <w:shd w:fill="F2F4F7"/>
            <w:vAlign w:val="center"/>
            <w:tcMar>
              <w:top w:w="80" w:type="dxa"/>
              <w:bottom w:w="80" w:type="dxa"/>
              <w:start w:w="120" w:type="dxa"/>
              <w:end w:w="120" w:type="dxa"/>
            </w:tcMar>
          </w:tcPr>
          <w:p>
            <w:pPr>
              <w:jc w:val="left"/>
            </w:pPr>
            <w:r>
              <w:rPr>
                <w:rFonts w:ascii="Calibri" w:hAnsi="Calibri"/>
                <w:b/>
                <w:i w:val="0"/>
                <w:color w:val="1F4D78"/>
                <w:sz w:val="18"/>
              </w:rPr>
              <w:t>Activities</w:t>
            </w:r>
          </w:p>
        </w:tc>
        <w:tc>
          <w:tcPr>
            <w:tcW w:type="dxa" w:w="3600"/>
            <w:shd w:fill="F2F4F7"/>
            <w:vAlign w:val="center"/>
            <w:tcMar>
              <w:top w:w="80" w:type="dxa"/>
              <w:bottom w:w="80" w:type="dxa"/>
              <w:start w:w="120" w:type="dxa"/>
              <w:end w:w="120" w:type="dxa"/>
            </w:tcMar>
          </w:tcPr>
          <w:p>
            <w:pPr>
              <w:jc w:val="left"/>
            </w:pPr>
            <w:r>
              <w:rPr>
                <w:rFonts w:ascii="Calibri" w:hAnsi="Calibri"/>
                <w:b/>
                <w:i w:val="0"/>
                <w:color w:val="1F4D78"/>
                <w:sz w:val="18"/>
              </w:rPr>
              <w:t>Client-ready deliverable</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Mobilize</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Confirm decision questions, stakeholders, data availability, and working norms.</w:t>
            </w:r>
          </w:p>
        </w:tc>
        <w:tc>
          <w:tcPr>
            <w:tcW w:type="dxa" w:w="3600"/>
            <w:vAlign w:val="center"/>
            <w:tcMar>
              <w:top w:w="80" w:type="dxa"/>
              <w:bottom w:w="80" w:type="dxa"/>
              <w:start w:w="120" w:type="dxa"/>
              <w:end w:w="120" w:type="dxa"/>
            </w:tcMar>
          </w:tcPr>
          <w:p>
            <w:pPr>
              <w:spacing w:after="0"/>
            </w:pPr>
            <w:r>
              <w:rPr>
                <w:rFonts w:ascii="Calibri" w:hAnsi="Calibri"/>
                <w:b w:val="0"/>
                <w:i w:val="0"/>
                <w:color w:val="000000"/>
                <w:sz w:val="18"/>
              </w:rPr>
              <w:t>Mobilization brief and integrated plan.</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Diagnose</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Test hypotheses; synthesize financial, operational, and organizational evidence.</w:t>
            </w:r>
          </w:p>
        </w:tc>
        <w:tc>
          <w:tcPr>
            <w:tcW w:type="dxa" w:w="3600"/>
            <w:vAlign w:val="center"/>
            <w:tcMar>
              <w:top w:w="80" w:type="dxa"/>
              <w:bottom w:w="80" w:type="dxa"/>
              <w:start w:w="120" w:type="dxa"/>
              <w:end w:w="120" w:type="dxa"/>
            </w:tcMar>
          </w:tcPr>
          <w:p>
            <w:pPr>
              <w:spacing w:after="0"/>
            </w:pPr>
            <w:r>
              <w:rPr>
                <w:rFonts w:ascii="Calibri" w:hAnsi="Calibri"/>
                <w:b w:val="0"/>
                <w:i w:val="0"/>
                <w:color w:val="000000"/>
                <w:sz w:val="18"/>
              </w:rPr>
              <w:t>Baseline, insight pack, and opportunity logic.</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Design</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Co-create choices, sequencing, accountabilities, and measures.</w:t>
            </w:r>
          </w:p>
        </w:tc>
        <w:tc>
          <w:tcPr>
            <w:tcW w:type="dxa" w:w="3600"/>
            <w:vAlign w:val="center"/>
            <w:tcMar>
              <w:top w:w="80" w:type="dxa"/>
              <w:bottom w:w="80" w:type="dxa"/>
              <w:start w:w="120" w:type="dxa"/>
              <w:end w:w="120" w:type="dxa"/>
            </w:tcMar>
          </w:tcPr>
          <w:p>
            <w:pPr>
              <w:spacing w:after="0"/>
            </w:pPr>
            <w:r>
              <w:rPr>
                <w:rFonts w:ascii="Calibri" w:hAnsi="Calibri"/>
                <w:b w:val="0"/>
                <w:i w:val="0"/>
                <w:color w:val="000000"/>
                <w:sz w:val="18"/>
              </w:rPr>
              <w:t>Leadership decision pack and implementation roadmap.</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Transfer</w:t>
            </w:r>
          </w:p>
        </w:tc>
        <w:tc>
          <w:tcPr>
            <w:tcW w:type="dxa" w:w="3960"/>
            <w:vAlign w:val="center"/>
            <w:tcMar>
              <w:top w:w="80" w:type="dxa"/>
              <w:bottom w:w="80" w:type="dxa"/>
              <w:start w:w="120" w:type="dxa"/>
              <w:end w:w="120" w:type="dxa"/>
            </w:tcMar>
          </w:tcPr>
          <w:p>
            <w:pPr>
              <w:spacing w:after="0"/>
            </w:pPr>
            <w:r>
              <w:rPr>
                <w:rFonts w:ascii="Calibri" w:hAnsi="Calibri"/>
                <w:b w:val="0"/>
                <w:i w:val="0"/>
                <w:color w:val="000000"/>
                <w:sz w:val="18"/>
              </w:rPr>
              <w:t>Establish governance, handover routines, and capability reinforcement.</w:t>
            </w:r>
          </w:p>
        </w:tc>
        <w:tc>
          <w:tcPr>
            <w:tcW w:type="dxa" w:w="3600"/>
            <w:vAlign w:val="center"/>
            <w:tcMar>
              <w:top w:w="80" w:type="dxa"/>
              <w:bottom w:w="80" w:type="dxa"/>
              <w:start w:w="120" w:type="dxa"/>
              <w:end w:w="120" w:type="dxa"/>
            </w:tcMar>
          </w:tcPr>
          <w:p>
            <w:pPr>
              <w:spacing w:after="0"/>
            </w:pPr>
            <w:r>
              <w:rPr>
                <w:rFonts w:ascii="Calibri" w:hAnsi="Calibri"/>
                <w:b w:val="0"/>
                <w:i w:val="0"/>
                <w:color w:val="000000"/>
                <w:sz w:val="18"/>
              </w:rPr>
              <w:t>Close-out readout and reusable management tools.</w:t>
            </w:r>
          </w:p>
        </w:tc>
      </w:tr>
    </w:tbl>
    <w:p>
      <w:pPr>
        <w:pStyle w:val="Heading1"/>
        <w:keepLines/>
      </w:pPr>
      <w:r>
        <w:t>Approach and workplan</w:t>
      </w:r>
    </w:p>
    <w:p>
      <w:pPr>
        <w:keepLines/>
      </w:pPr>
      <w:r>
        <w:t>We will use a rapid, decision-led rhythm: orient the team around the choices that matter; validate evidence in short sprints; and socialize implications before formal decision points. The approach protects executive time while ensuring working-level experts see their knowledge reflected in the answer.</w:t>
      </w:r>
    </w:p>
    <w:p>
      <w:pPr>
        <w:pStyle w:val="Heading2"/>
        <w:keepLines/>
      </w:pPr>
      <w:r>
        <w:t>Indicative cadence</w:t>
      </w:r>
    </w:p>
    <w:tbl>
      <w:tblPr>
        <w:tblStyle w:val="TableGrid"/>
        <w:tblW w:type="dxa" w:w="9360"/>
        <w:jc w:val="left"/>
        <w:tblLayout w:type="fixed"/>
        <w:tblLook w:firstColumn="1" w:firstRow="1" w:lastColumn="0" w:lastRow="0" w:noHBand="0" w:noVBand="1" w:val="04A0"/>
        <w:tblInd w:w="120" w:type="dxa"/>
      </w:tblPr>
      <w:tblGrid>
        <w:gridCol w:w="2100"/>
        <w:gridCol w:w="2160"/>
        <w:gridCol w:w="5100"/>
      </w:tblGrid>
      <w:tr>
        <w:tc>
          <w:tcPr>
            <w:tcW w:type="dxa" w:w="2100"/>
            <w:shd w:fill="F2F4F7"/>
            <w:vAlign w:val="center"/>
            <w:tcMar>
              <w:top w:w="80" w:type="dxa"/>
              <w:bottom w:w="80" w:type="dxa"/>
              <w:start w:w="120" w:type="dxa"/>
              <w:end w:w="120" w:type="dxa"/>
            </w:tcMar>
          </w:tcPr>
          <w:p>
            <w:pPr>
              <w:jc w:val="left"/>
            </w:pPr>
            <w:r>
              <w:rPr>
                <w:rFonts w:ascii="Calibri" w:hAnsi="Calibri"/>
                <w:b/>
                <w:i w:val="0"/>
                <w:color w:val="1F4D78"/>
                <w:sz w:val="18"/>
              </w:rPr>
              <w:t>Phase</w:t>
            </w:r>
          </w:p>
        </w:tc>
        <w:tc>
          <w:tcPr>
            <w:tcW w:type="dxa" w:w="2160"/>
            <w:shd w:fill="F2F4F7"/>
            <w:vAlign w:val="center"/>
            <w:tcMar>
              <w:top w:w="80" w:type="dxa"/>
              <w:bottom w:w="80" w:type="dxa"/>
              <w:start w:w="120" w:type="dxa"/>
              <w:end w:w="120" w:type="dxa"/>
            </w:tcMar>
          </w:tcPr>
          <w:p>
            <w:pPr>
              <w:jc w:val="left"/>
            </w:pPr>
            <w:r>
              <w:rPr>
                <w:rFonts w:ascii="Calibri" w:hAnsi="Calibri"/>
                <w:b/>
                <w:i w:val="0"/>
                <w:color w:val="1F4D78"/>
                <w:sz w:val="18"/>
              </w:rPr>
              <w:t>Timing</w:t>
            </w:r>
          </w:p>
        </w:tc>
        <w:tc>
          <w:tcPr>
            <w:tcW w:type="dxa" w:w="5100"/>
            <w:shd w:fill="F2F4F7"/>
            <w:vAlign w:val="center"/>
            <w:tcMar>
              <w:top w:w="80" w:type="dxa"/>
              <w:bottom w:w="80" w:type="dxa"/>
              <w:start w:w="120" w:type="dxa"/>
              <w:end w:w="120" w:type="dxa"/>
            </w:tcMar>
          </w:tcPr>
          <w:p>
            <w:pPr>
              <w:jc w:val="left"/>
            </w:pPr>
            <w:r>
              <w:rPr>
                <w:rFonts w:ascii="Calibri" w:hAnsi="Calibri"/>
                <w:b/>
                <w:i w:val="0"/>
                <w:color w:val="1F4D78"/>
                <w:sz w:val="18"/>
              </w:rPr>
              <w:t>Primary outcome</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1. Mobilize</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Week 1</w:t>
            </w:r>
          </w:p>
        </w:tc>
        <w:tc>
          <w:tcPr>
            <w:tcW w:type="dxa" w:w="5100"/>
            <w:vAlign w:val="center"/>
            <w:tcMar>
              <w:top w:w="80" w:type="dxa"/>
              <w:bottom w:w="80" w:type="dxa"/>
              <w:start w:w="120" w:type="dxa"/>
              <w:end w:w="120" w:type="dxa"/>
            </w:tcMar>
          </w:tcPr>
          <w:p>
            <w:pPr>
              <w:spacing w:after="0"/>
            </w:pPr>
            <w:r>
              <w:rPr>
                <w:rFonts w:ascii="Calibri" w:hAnsi="Calibri"/>
                <w:b w:val="0"/>
                <w:i w:val="0"/>
                <w:color w:val="000000"/>
                <w:sz w:val="18"/>
              </w:rPr>
              <w:t>Aligned scope, data plan, and sponsor decisions.</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2. Fact base</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Weeks 2-3</w:t>
            </w:r>
          </w:p>
        </w:tc>
        <w:tc>
          <w:tcPr>
            <w:tcW w:type="dxa" w:w="5100"/>
            <w:vAlign w:val="center"/>
            <w:tcMar>
              <w:top w:w="80" w:type="dxa"/>
              <w:bottom w:w="80" w:type="dxa"/>
              <w:start w:w="120" w:type="dxa"/>
              <w:end w:w="120" w:type="dxa"/>
            </w:tcMar>
          </w:tcPr>
          <w:p>
            <w:pPr>
              <w:spacing w:after="0"/>
            </w:pPr>
            <w:r>
              <w:rPr>
                <w:rFonts w:ascii="Calibri" w:hAnsi="Calibri"/>
                <w:b w:val="0"/>
                <w:i w:val="0"/>
                <w:color w:val="000000"/>
                <w:sz w:val="18"/>
              </w:rPr>
              <w:t>Validated baseline and opportunity hypotheses.</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3. Choices</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Middle period</w:t>
            </w:r>
          </w:p>
        </w:tc>
        <w:tc>
          <w:tcPr>
            <w:tcW w:type="dxa" w:w="5100"/>
            <w:vAlign w:val="center"/>
            <w:tcMar>
              <w:top w:w="80" w:type="dxa"/>
              <w:bottom w:w="80" w:type="dxa"/>
              <w:start w:w="120" w:type="dxa"/>
              <w:end w:w="120" w:type="dxa"/>
            </w:tcMar>
          </w:tcPr>
          <w:p>
            <w:pPr>
              <w:spacing w:after="0"/>
            </w:pPr>
            <w:r>
              <w:rPr>
                <w:rFonts w:ascii="Calibri" w:hAnsi="Calibri"/>
                <w:b w:val="0"/>
                <w:i w:val="0"/>
                <w:color w:val="000000"/>
                <w:sz w:val="18"/>
              </w:rPr>
              <w:t>Prioritized initiatives, trade-offs, and owner commitments.</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4. Commit</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Final week</w:t>
            </w:r>
          </w:p>
        </w:tc>
        <w:tc>
          <w:tcPr>
            <w:tcW w:type="dxa" w:w="5100"/>
            <w:vAlign w:val="center"/>
            <w:tcMar>
              <w:top w:w="80" w:type="dxa"/>
              <w:bottom w:w="80" w:type="dxa"/>
              <w:start w:w="120" w:type="dxa"/>
              <w:end w:w="120" w:type="dxa"/>
            </w:tcMar>
          </w:tcPr>
          <w:p>
            <w:pPr>
              <w:spacing w:after="0"/>
            </w:pPr>
            <w:r>
              <w:rPr>
                <w:rFonts w:ascii="Calibri" w:hAnsi="Calibri"/>
                <w:b w:val="0"/>
                <w:i w:val="0"/>
                <w:color w:val="000000"/>
                <w:sz w:val="18"/>
              </w:rPr>
              <w:t>Approved roadmap and governance handover.</w:t>
            </w:r>
          </w:p>
        </w:tc>
      </w:tr>
    </w:tbl>
    <w:p>
      <w:pPr>
        <w:pStyle w:val="Heading1"/>
        <w:keepLines/>
      </w:pPr>
      <w:r>
        <w:t>Governance and team</w:t>
      </w:r>
    </w:p>
    <w:p>
      <w:pPr>
        <w:keepLines/>
      </w:pPr>
      <w:r>
        <w:t>The proposed Summit Vale team is Avery Calder (Engagement Partner); Nina Solberg (Program Lead); Theo Mercer (Analytics Lead); Keiko Ward (Change Lead). The Engagement Partner will maintain sponsor alignment; the Program Lead will direct the workplan and decision cadence; the Analytics Lead will assure fact-base quality; and the Change Lead will shape adoption and communications. Client counterparts retain all business decisions and provide timely access to relevant people and data.</w:t>
      </w:r>
    </w:p>
    <w:tbl>
      <w:tblPr>
        <w:tblStyle w:val="TableGrid"/>
        <w:tblW w:type="dxa" w:w="9360"/>
        <w:jc w:val="left"/>
        <w:tblLayout w:type="fixed"/>
        <w:tblLook w:firstColumn="1" w:firstRow="1" w:lastColumn="0" w:lastRow="0" w:noHBand="0" w:noVBand="1" w:val="04A0"/>
        <w:tblInd w:w="120" w:type="dxa"/>
      </w:tblPr>
      <w:tblGrid>
        <w:gridCol w:w="1800"/>
        <w:gridCol w:w="3000"/>
        <w:gridCol w:w="1560"/>
        <w:gridCol w:w="3000"/>
      </w:tblGrid>
      <w:tr>
        <w:tc>
          <w:tcPr>
            <w:tcW w:type="dxa" w:w="1800"/>
            <w:shd w:fill="F2F4F7"/>
            <w:vAlign w:val="center"/>
            <w:tcMar>
              <w:top w:w="80" w:type="dxa"/>
              <w:bottom w:w="80" w:type="dxa"/>
              <w:start w:w="120" w:type="dxa"/>
              <w:end w:w="120" w:type="dxa"/>
            </w:tcMar>
          </w:tcPr>
          <w:p>
            <w:pPr>
              <w:jc w:val="left"/>
            </w:pPr>
            <w:r>
              <w:rPr>
                <w:rFonts w:ascii="Calibri" w:hAnsi="Calibri"/>
                <w:b/>
                <w:i w:val="0"/>
                <w:color w:val="1F4D78"/>
                <w:sz w:val="18"/>
              </w:rPr>
              <w:t>Forum</w:t>
            </w:r>
          </w:p>
        </w:tc>
        <w:tc>
          <w:tcPr>
            <w:tcW w:type="dxa" w:w="3000"/>
            <w:shd w:fill="F2F4F7"/>
            <w:vAlign w:val="center"/>
            <w:tcMar>
              <w:top w:w="80" w:type="dxa"/>
              <w:bottom w:w="80" w:type="dxa"/>
              <w:start w:w="120" w:type="dxa"/>
              <w:end w:w="120" w:type="dxa"/>
            </w:tcMar>
          </w:tcPr>
          <w:p>
            <w:pPr>
              <w:jc w:val="left"/>
            </w:pPr>
            <w:r>
              <w:rPr>
                <w:rFonts w:ascii="Calibri" w:hAnsi="Calibri"/>
                <w:b/>
                <w:i w:val="0"/>
                <w:color w:val="1F4D78"/>
                <w:sz w:val="18"/>
              </w:rPr>
              <w:t>Participants</w:t>
            </w:r>
          </w:p>
        </w:tc>
        <w:tc>
          <w:tcPr>
            <w:tcW w:type="dxa" w:w="1560"/>
            <w:shd w:fill="F2F4F7"/>
            <w:vAlign w:val="center"/>
            <w:tcMar>
              <w:top w:w="80" w:type="dxa"/>
              <w:bottom w:w="80" w:type="dxa"/>
              <w:start w:w="120" w:type="dxa"/>
              <w:end w:w="120" w:type="dxa"/>
            </w:tcMar>
          </w:tcPr>
          <w:p>
            <w:pPr>
              <w:jc w:val="left"/>
            </w:pPr>
            <w:r>
              <w:rPr>
                <w:rFonts w:ascii="Calibri" w:hAnsi="Calibri"/>
                <w:b/>
                <w:i w:val="0"/>
                <w:color w:val="1F4D78"/>
                <w:sz w:val="18"/>
              </w:rPr>
              <w:t>Cadence</w:t>
            </w:r>
          </w:p>
        </w:tc>
        <w:tc>
          <w:tcPr>
            <w:tcW w:type="dxa" w:w="3000"/>
            <w:shd w:fill="F2F4F7"/>
            <w:vAlign w:val="center"/>
            <w:tcMar>
              <w:top w:w="80" w:type="dxa"/>
              <w:bottom w:w="80" w:type="dxa"/>
              <w:start w:w="120" w:type="dxa"/>
              <w:end w:w="120" w:type="dxa"/>
            </w:tcMar>
          </w:tcPr>
          <w:p>
            <w:pPr>
              <w:jc w:val="left"/>
            </w:pPr>
            <w:r>
              <w:rPr>
                <w:rFonts w:ascii="Calibri" w:hAnsi="Calibri"/>
                <w:b/>
                <w:i w:val="0"/>
                <w:color w:val="1F4D78"/>
                <w:sz w:val="18"/>
              </w:rPr>
              <w:t>Purpose</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Sponsor check-in</w:t>
            </w:r>
          </w:p>
        </w:tc>
        <w:tc>
          <w:tcPr>
            <w:tcW w:type="dxa" w:w="3000"/>
            <w:vAlign w:val="center"/>
            <w:tcMar>
              <w:top w:w="80" w:type="dxa"/>
              <w:bottom w:w="80" w:type="dxa"/>
              <w:start w:w="120" w:type="dxa"/>
              <w:end w:w="120" w:type="dxa"/>
            </w:tcMar>
          </w:tcPr>
          <w:p>
            <w:pPr>
              <w:spacing w:after="0"/>
            </w:pPr>
            <w:r>
              <w:rPr>
                <w:rFonts w:ascii="Calibri" w:hAnsi="Calibri"/>
                <w:b w:val="0"/>
                <w:i w:val="0"/>
                <w:color w:val="000000"/>
                <w:sz w:val="18"/>
              </w:rPr>
              <w:t>Executive sponsor, Avery Calder</w:t>
            </w:r>
          </w:p>
        </w:tc>
        <w:tc>
          <w:tcPr>
            <w:tcW w:type="dxa" w:w="1560"/>
            <w:vAlign w:val="center"/>
            <w:tcMar>
              <w:top w:w="80" w:type="dxa"/>
              <w:bottom w:w="80" w:type="dxa"/>
              <w:start w:w="120" w:type="dxa"/>
              <w:end w:w="120" w:type="dxa"/>
            </w:tcMar>
          </w:tcPr>
          <w:p>
            <w:pPr>
              <w:spacing w:after="0"/>
            </w:pPr>
            <w:r>
              <w:rPr>
                <w:rFonts w:ascii="Calibri" w:hAnsi="Calibri"/>
                <w:b w:val="0"/>
                <w:i w:val="0"/>
                <w:color w:val="000000"/>
                <w:sz w:val="18"/>
              </w:rPr>
              <w:t>Weekly</w:t>
            </w:r>
          </w:p>
        </w:tc>
        <w:tc>
          <w:tcPr>
            <w:tcW w:type="dxa" w:w="3000"/>
            <w:vAlign w:val="center"/>
            <w:tcMar>
              <w:top w:w="80" w:type="dxa"/>
              <w:bottom w:w="80" w:type="dxa"/>
              <w:start w:w="120" w:type="dxa"/>
              <w:end w:w="120" w:type="dxa"/>
            </w:tcMar>
          </w:tcPr>
          <w:p>
            <w:pPr>
              <w:spacing w:after="0"/>
            </w:pPr>
            <w:r>
              <w:rPr>
                <w:rFonts w:ascii="Calibri" w:hAnsi="Calibri"/>
                <w:b w:val="0"/>
                <w:i w:val="0"/>
                <w:color w:val="000000"/>
                <w:sz w:val="18"/>
              </w:rPr>
              <w:t>Resolve choices, constraints, and escalation items.</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Working session</w:t>
            </w:r>
          </w:p>
        </w:tc>
        <w:tc>
          <w:tcPr>
            <w:tcW w:type="dxa" w:w="3000"/>
            <w:vAlign w:val="center"/>
            <w:tcMar>
              <w:top w:w="80" w:type="dxa"/>
              <w:bottom w:w="80" w:type="dxa"/>
              <w:start w:w="120" w:type="dxa"/>
              <w:end w:w="120" w:type="dxa"/>
            </w:tcMar>
          </w:tcPr>
          <w:p>
            <w:pPr>
              <w:spacing w:after="0"/>
            </w:pPr>
            <w:r>
              <w:rPr>
                <w:rFonts w:ascii="Calibri" w:hAnsi="Calibri"/>
                <w:b w:val="0"/>
                <w:i w:val="0"/>
                <w:color w:val="000000"/>
                <w:sz w:val="18"/>
              </w:rPr>
              <w:t>Client leads, Summit Vale team</w:t>
            </w:r>
          </w:p>
        </w:tc>
        <w:tc>
          <w:tcPr>
            <w:tcW w:type="dxa" w:w="1560"/>
            <w:vAlign w:val="center"/>
            <w:tcMar>
              <w:top w:w="80" w:type="dxa"/>
              <w:bottom w:w="80" w:type="dxa"/>
              <w:start w:w="120" w:type="dxa"/>
              <w:end w:w="120" w:type="dxa"/>
            </w:tcMar>
          </w:tcPr>
          <w:p>
            <w:pPr>
              <w:spacing w:after="0"/>
            </w:pPr>
            <w:r>
              <w:rPr>
                <w:rFonts w:ascii="Calibri" w:hAnsi="Calibri"/>
                <w:b w:val="0"/>
                <w:i w:val="0"/>
                <w:color w:val="000000"/>
                <w:sz w:val="18"/>
              </w:rPr>
              <w:t>Twice weekly</w:t>
            </w:r>
          </w:p>
        </w:tc>
        <w:tc>
          <w:tcPr>
            <w:tcW w:type="dxa" w:w="3000"/>
            <w:vAlign w:val="center"/>
            <w:tcMar>
              <w:top w:w="80" w:type="dxa"/>
              <w:bottom w:w="80" w:type="dxa"/>
              <w:start w:w="120" w:type="dxa"/>
              <w:end w:w="120" w:type="dxa"/>
            </w:tcMar>
          </w:tcPr>
          <w:p>
            <w:pPr>
              <w:spacing w:after="0"/>
            </w:pPr>
            <w:r>
              <w:rPr>
                <w:rFonts w:ascii="Calibri" w:hAnsi="Calibri"/>
                <w:b w:val="0"/>
                <w:i w:val="0"/>
                <w:color w:val="000000"/>
                <w:sz w:val="18"/>
              </w:rPr>
              <w:t>Test insights and design practical interventions.</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Steering review</w:t>
            </w:r>
          </w:p>
        </w:tc>
        <w:tc>
          <w:tcPr>
            <w:tcW w:type="dxa" w:w="3000"/>
            <w:vAlign w:val="center"/>
            <w:tcMar>
              <w:top w:w="80" w:type="dxa"/>
              <w:bottom w:w="80" w:type="dxa"/>
              <w:start w:w="120" w:type="dxa"/>
              <w:end w:w="120" w:type="dxa"/>
            </w:tcMar>
          </w:tcPr>
          <w:p>
            <w:pPr>
              <w:spacing w:after="0"/>
            </w:pPr>
            <w:r>
              <w:rPr>
                <w:rFonts w:ascii="Calibri" w:hAnsi="Calibri"/>
                <w:b w:val="0"/>
                <w:i w:val="0"/>
                <w:color w:val="000000"/>
                <w:sz w:val="18"/>
              </w:rPr>
              <w:t>Leadership team</w:t>
            </w:r>
          </w:p>
        </w:tc>
        <w:tc>
          <w:tcPr>
            <w:tcW w:type="dxa" w:w="1560"/>
            <w:vAlign w:val="center"/>
            <w:tcMar>
              <w:top w:w="80" w:type="dxa"/>
              <w:bottom w:w="80" w:type="dxa"/>
              <w:start w:w="120" w:type="dxa"/>
              <w:end w:w="120" w:type="dxa"/>
            </w:tcMar>
          </w:tcPr>
          <w:p>
            <w:pPr>
              <w:spacing w:after="0"/>
            </w:pPr>
            <w:r>
              <w:rPr>
                <w:rFonts w:ascii="Calibri" w:hAnsi="Calibri"/>
                <w:b w:val="0"/>
                <w:i w:val="0"/>
                <w:color w:val="000000"/>
                <w:sz w:val="18"/>
              </w:rPr>
              <w:t>At key gates</w:t>
            </w:r>
          </w:p>
        </w:tc>
        <w:tc>
          <w:tcPr>
            <w:tcW w:type="dxa" w:w="3000"/>
            <w:vAlign w:val="center"/>
            <w:tcMar>
              <w:top w:w="80" w:type="dxa"/>
              <w:bottom w:w="80" w:type="dxa"/>
              <w:start w:w="120" w:type="dxa"/>
              <w:end w:w="120" w:type="dxa"/>
            </w:tcMar>
          </w:tcPr>
          <w:p>
            <w:pPr>
              <w:spacing w:after="0"/>
            </w:pPr>
            <w:r>
              <w:rPr>
                <w:rFonts w:ascii="Calibri" w:hAnsi="Calibri"/>
                <w:b w:val="0"/>
                <w:i w:val="0"/>
                <w:color w:val="000000"/>
                <w:sz w:val="18"/>
              </w:rPr>
              <w:t>Approve direction, priorities, and commitments.</w:t>
            </w:r>
          </w:p>
        </w:tc>
      </w:tr>
    </w:tbl>
    <w:p>
      <w:pPr>
        <w:pStyle w:val="Heading1"/>
        <w:keepLines/>
      </w:pPr>
      <w:r>
        <w:t>Fee and commercial terms</w:t>
      </w:r>
    </w:p>
    <w:p>
      <w:pPr>
        <w:keepLines/>
      </w:pPr>
      <w:r>
        <w:t>The proposed fixed professional fee is JPY 0.0M, exclusive of applicable taxes and pre-approved travel expenses. The engagement is planned for Reference. Invoices are issued 40% on mobilization, 40% at the decision-pack review, and 20% on final acceptance. No contingent fee is included.</w:t>
      </w:r>
    </w:p>
    <w:p>
      <w:pPr>
        <w:pStyle w:val="Heading1"/>
        <w:keepLines/>
      </w:pPr>
      <w:r>
        <w:t>Assumptions and exclusions</w:t>
      </w:r>
    </w:p>
    <w:p>
      <w:pPr>
        <w:pStyle w:val="ListBullet"/>
        <w:spacing w:after="80" w:line="290" w:lineRule="auto"/>
      </w:pPr>
      <w:r>
        <w:t>The client will nominate an empowered sponsor and provide timely access to agreed management information.</w:t>
      </w:r>
    </w:p>
    <w:p>
      <w:pPr>
        <w:pStyle w:val="ListBullet"/>
        <w:spacing w:after="80" w:line="290" w:lineRule="auto"/>
      </w:pPr>
      <w:r>
        <w:t>Outputs are advisory materials for internal decision-making; Summit Vale does not provide legal, audit, tax, or investment advice.</w:t>
      </w:r>
    </w:p>
    <w:p>
      <w:pPr>
        <w:pStyle w:val="ListBullet"/>
        <w:spacing w:after="80" w:line="290" w:lineRule="auto"/>
      </w:pPr>
      <w:r>
        <w:t>Scope changes, additional regions, or extended delivery support require a written change request.</w:t>
      </w:r>
    </w:p>
    <w:p>
      <w:pPr>
        <w:pStyle w:val="Heading1"/>
        <w:keepLines/>
      </w:pPr>
      <w:r>
        <w:t>Acceptance criteria</w:t>
      </w:r>
    </w:p>
    <w:p>
      <w:pPr>
        <w:pStyle w:val="ListBullet"/>
        <w:spacing w:after="80" w:line="290" w:lineRule="auto"/>
      </w:pPr>
      <w:r>
        <w:t>Deliverables reflect the agreed scope, contain traceable evidence, and identify assumptions and decision owners.</w:t>
      </w:r>
    </w:p>
    <w:p>
      <w:pPr>
        <w:pStyle w:val="ListBullet"/>
        <w:spacing w:after="80" w:line="290" w:lineRule="auto"/>
      </w:pPr>
      <w:r>
        <w:t>The sponsor confirms that the final decision pack and roadmap are complete enough for the intended leadership forum.</w:t>
      </w:r>
    </w:p>
    <w:p>
      <w:pPr>
        <w:pStyle w:val="ListBullet"/>
        <w:spacing w:after="80" w:line="290" w:lineRule="auto"/>
      </w:pPr>
      <w:r>
        <w:t>Summit Vale addresses consolidated factual corrections submitted within five business days of draft delivery.</w:t>
      </w:r>
    </w:p>
    <w:p>
      <w:pPr>
        <w:pStyle w:val="Heading1"/>
        <w:keepLines/>
      </w:pPr>
      <w:r>
        <w:t>Relevant experience</w:t>
      </w:r>
    </w:p>
    <w:p>
      <w:pPr>
        <w:keepLines/>
      </w:pPr>
      <w:r>
        <w:t>Synthetic internal reference: Client Alpha Phase 1 Finance, approved budget JPY 42.8M. This fictional reference is illustrative only and is not a claim about a real client.</w:t>
      </w:r>
    </w:p>
    <w:p>
      <w:pPr>
        <w:pStyle w:val="Heading1"/>
        <w:keepLines/>
      </w:pPr>
      <w:r>
        <w:t>Detailed activities</w:t>
      </w:r>
    </w:p>
    <w:p>
      <w:pPr>
        <w:pStyle w:val="Heading2"/>
        <w:keepLines/>
      </w:pPr>
      <w:r>
        <w:t>Mobilization</w:t>
      </w:r>
    </w:p>
    <w:p>
      <w:pPr>
        <w:keepLines/>
      </w:pPr>
      <w:r>
        <w:t>Run a focused sponsor interview, stakeholder map, and data readiness scan. Agree working principles and the decision calendar.</w:t>
      </w:r>
    </w:p>
    <w:p>
      <w:pPr>
        <w:pStyle w:val="Heading2"/>
        <w:keepLines/>
      </w:pPr>
      <w:r>
        <w:t>Evidence and analysis</w:t>
      </w:r>
    </w:p>
    <w:p>
      <w:pPr>
        <w:keepLines/>
      </w:pPr>
      <w:r>
        <w:t>Use management reporting, process observation, and facilitated interviews to distinguish structural issues from isolated symptoms.</w:t>
      </w:r>
    </w:p>
    <w:p>
      <w:pPr>
        <w:pStyle w:val="Heading2"/>
        <w:keepLines/>
      </w:pPr>
      <w:r>
        <w:t>Design and commitment</w:t>
      </w:r>
    </w:p>
    <w:p>
      <w:pPr>
        <w:keepLines/>
      </w:pPr>
      <w:r>
        <w:t>Develop practical initiative charters, implementation dependencies, and a measurement plan that leaders can use in regular operating reviews.</w:t>
      </w:r>
    </w:p>
    <w:p>
      <w:pPr>
        <w:pStyle w:val="Heading2"/>
        <w:keepLines/>
      </w:pPr>
      <w:r>
        <w:t>Sustainment</w:t>
      </w:r>
    </w:p>
    <w:p>
      <w:pPr>
        <w:keepLines/>
      </w:pPr>
      <w:r>
        <w:t>Transfer templates, meeting routines, and a simple risk-and-decision log to the client team.</w:t>
      </w:r>
    </w:p>
    <w:p>
      <w:pPr>
        <w:pStyle w:val="Heading1"/>
        <w:keepLines/>
      </w:pPr>
      <w:r>
        <w:t>Decision log and risk management</w:t>
      </w:r>
    </w:p>
    <w:tbl>
      <w:tblPr>
        <w:tblStyle w:val="TableGrid"/>
        <w:tblW w:type="dxa" w:w="9360"/>
        <w:jc w:val="left"/>
        <w:tblLayout w:type="fixed"/>
        <w:tblLook w:firstColumn="1" w:firstRow="1" w:lastColumn="0" w:lastRow="0" w:noHBand="0" w:noVBand="1" w:val="04A0"/>
        <w:tblInd w:w="120" w:type="dxa"/>
      </w:tblPr>
      <w:tblGrid>
        <w:gridCol w:w="3120"/>
        <w:gridCol w:w="4080"/>
        <w:gridCol w:w="2160"/>
      </w:tblGrid>
      <w:tr>
        <w:tc>
          <w:tcPr>
            <w:tcW w:type="dxa" w:w="3120"/>
            <w:shd w:fill="F2F4F7"/>
            <w:vAlign w:val="center"/>
            <w:tcMar>
              <w:top w:w="80" w:type="dxa"/>
              <w:bottom w:w="80" w:type="dxa"/>
              <w:start w:w="120" w:type="dxa"/>
              <w:end w:w="120" w:type="dxa"/>
            </w:tcMar>
          </w:tcPr>
          <w:p>
            <w:pPr>
              <w:jc w:val="left"/>
            </w:pPr>
            <w:r>
              <w:rPr>
                <w:rFonts w:ascii="Calibri" w:hAnsi="Calibri"/>
                <w:b/>
                <w:i w:val="0"/>
                <w:color w:val="1F4D78"/>
                <w:sz w:val="18"/>
              </w:rPr>
              <w:t>Risk or dependency</w:t>
            </w:r>
          </w:p>
        </w:tc>
        <w:tc>
          <w:tcPr>
            <w:tcW w:type="dxa" w:w="4080"/>
            <w:shd w:fill="F2F4F7"/>
            <w:vAlign w:val="center"/>
            <w:tcMar>
              <w:top w:w="80" w:type="dxa"/>
              <w:bottom w:w="80" w:type="dxa"/>
              <w:start w:w="120" w:type="dxa"/>
              <w:end w:w="120" w:type="dxa"/>
            </w:tcMar>
          </w:tcPr>
          <w:p>
            <w:pPr>
              <w:jc w:val="left"/>
            </w:pPr>
            <w:r>
              <w:rPr>
                <w:rFonts w:ascii="Calibri" w:hAnsi="Calibri"/>
                <w:b/>
                <w:i w:val="0"/>
                <w:color w:val="1F4D78"/>
                <w:sz w:val="18"/>
              </w:rPr>
              <w:t>Response</w:t>
            </w:r>
          </w:p>
        </w:tc>
        <w:tc>
          <w:tcPr>
            <w:tcW w:type="dxa" w:w="2160"/>
            <w:shd w:fill="F2F4F7"/>
            <w:vAlign w:val="center"/>
            <w:tcMar>
              <w:top w:w="80" w:type="dxa"/>
              <w:bottom w:w="80" w:type="dxa"/>
              <w:start w:w="120" w:type="dxa"/>
              <w:end w:w="120" w:type="dxa"/>
            </w:tcMar>
          </w:tcPr>
          <w:p>
            <w:pPr>
              <w:jc w:val="left"/>
            </w:pPr>
            <w:r>
              <w:rPr>
                <w:rFonts w:ascii="Calibri" w:hAnsi="Calibri"/>
                <w:b/>
                <w:i w:val="0"/>
                <w:color w:val="1F4D78"/>
                <w:sz w:val="18"/>
              </w:rPr>
              <w:t>Owner</w:t>
            </w:r>
          </w:p>
        </w:tc>
      </w:tr>
      <w:tr>
        <w:tc>
          <w:tcPr>
            <w:tcW w:type="dxa" w:w="3120"/>
            <w:vAlign w:val="center"/>
            <w:tcMar>
              <w:top w:w="80" w:type="dxa"/>
              <w:bottom w:w="80" w:type="dxa"/>
              <w:start w:w="120" w:type="dxa"/>
              <w:end w:w="120" w:type="dxa"/>
            </w:tcMar>
          </w:tcPr>
          <w:p>
            <w:pPr>
              <w:spacing w:after="0"/>
            </w:pPr>
            <w:r>
              <w:rPr>
                <w:rFonts w:ascii="Calibri" w:hAnsi="Calibri"/>
                <w:b w:val="0"/>
                <w:i w:val="0"/>
                <w:color w:val="000000"/>
                <w:sz w:val="18"/>
              </w:rPr>
              <w:t>Data availability</w:t>
            </w:r>
          </w:p>
        </w:tc>
        <w:tc>
          <w:tcPr>
            <w:tcW w:type="dxa" w:w="4080"/>
            <w:vAlign w:val="center"/>
            <w:tcMar>
              <w:top w:w="80" w:type="dxa"/>
              <w:bottom w:w="80" w:type="dxa"/>
              <w:start w:w="120" w:type="dxa"/>
              <w:end w:w="120" w:type="dxa"/>
            </w:tcMar>
          </w:tcPr>
          <w:p>
            <w:pPr>
              <w:spacing w:after="0"/>
            </w:pPr>
            <w:r>
              <w:rPr>
                <w:rFonts w:ascii="Calibri" w:hAnsi="Calibri"/>
                <w:b w:val="0"/>
                <w:i w:val="0"/>
                <w:color w:val="000000"/>
                <w:sz w:val="18"/>
              </w:rPr>
              <w:t>Confirm minimum viable dataset in week one; document gaps explicitly.</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Client workstream lead</w:t>
            </w:r>
          </w:p>
        </w:tc>
      </w:tr>
      <w:tr>
        <w:tc>
          <w:tcPr>
            <w:tcW w:type="dxa" w:w="3120"/>
            <w:vAlign w:val="center"/>
            <w:tcMar>
              <w:top w:w="80" w:type="dxa"/>
              <w:bottom w:w="80" w:type="dxa"/>
              <w:start w:w="120" w:type="dxa"/>
              <w:end w:w="120" w:type="dxa"/>
            </w:tcMar>
          </w:tcPr>
          <w:p>
            <w:pPr>
              <w:spacing w:after="0"/>
            </w:pPr>
            <w:r>
              <w:rPr>
                <w:rFonts w:ascii="Calibri" w:hAnsi="Calibri"/>
                <w:b w:val="0"/>
                <w:i w:val="0"/>
                <w:color w:val="000000"/>
                <w:sz w:val="18"/>
              </w:rPr>
              <w:t>Decision latency</w:t>
            </w:r>
          </w:p>
        </w:tc>
        <w:tc>
          <w:tcPr>
            <w:tcW w:type="dxa" w:w="4080"/>
            <w:vAlign w:val="center"/>
            <w:tcMar>
              <w:top w:w="80" w:type="dxa"/>
              <w:bottom w:w="80" w:type="dxa"/>
              <w:start w:w="120" w:type="dxa"/>
              <w:end w:w="120" w:type="dxa"/>
            </w:tcMar>
          </w:tcPr>
          <w:p>
            <w:pPr>
              <w:spacing w:after="0"/>
            </w:pPr>
            <w:r>
              <w:rPr>
                <w:rFonts w:ascii="Calibri" w:hAnsi="Calibri"/>
                <w:b w:val="0"/>
                <w:i w:val="0"/>
                <w:color w:val="000000"/>
                <w:sz w:val="18"/>
              </w:rPr>
              <w:t>Use gate dates and pre-reads to protect sponsor time.</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Executive sponsor</w:t>
            </w:r>
          </w:p>
        </w:tc>
      </w:tr>
      <w:tr>
        <w:tc>
          <w:tcPr>
            <w:tcW w:type="dxa" w:w="3120"/>
            <w:vAlign w:val="center"/>
            <w:tcMar>
              <w:top w:w="80" w:type="dxa"/>
              <w:bottom w:w="80" w:type="dxa"/>
              <w:start w:w="120" w:type="dxa"/>
              <w:end w:w="120" w:type="dxa"/>
            </w:tcMar>
          </w:tcPr>
          <w:p>
            <w:pPr>
              <w:spacing w:after="0"/>
            </w:pPr>
            <w:r>
              <w:rPr>
                <w:rFonts w:ascii="Calibri" w:hAnsi="Calibri"/>
                <w:b w:val="0"/>
                <w:i w:val="0"/>
                <w:color w:val="000000"/>
                <w:sz w:val="18"/>
              </w:rPr>
              <w:t>Change fatigue</w:t>
            </w:r>
          </w:p>
        </w:tc>
        <w:tc>
          <w:tcPr>
            <w:tcW w:type="dxa" w:w="4080"/>
            <w:vAlign w:val="center"/>
            <w:tcMar>
              <w:top w:w="80" w:type="dxa"/>
              <w:bottom w:w="80" w:type="dxa"/>
              <w:start w:w="120" w:type="dxa"/>
              <w:end w:w="120" w:type="dxa"/>
            </w:tcMar>
          </w:tcPr>
          <w:p>
            <w:pPr>
              <w:spacing w:after="0"/>
            </w:pPr>
            <w:r>
              <w:rPr>
                <w:rFonts w:ascii="Calibri" w:hAnsi="Calibri"/>
                <w:b w:val="0"/>
                <w:i w:val="0"/>
                <w:color w:val="000000"/>
                <w:sz w:val="18"/>
              </w:rPr>
              <w:t>Sequence communication and involve affected leaders early.</w:t>
            </w:r>
          </w:p>
        </w:tc>
        <w:tc>
          <w:tcPr>
            <w:tcW w:type="dxa" w:w="2160"/>
            <w:vAlign w:val="center"/>
            <w:tcMar>
              <w:top w:w="80" w:type="dxa"/>
              <w:bottom w:w="80" w:type="dxa"/>
              <w:start w:w="120" w:type="dxa"/>
              <w:end w:w="120" w:type="dxa"/>
            </w:tcMar>
          </w:tcPr>
          <w:p>
            <w:pPr>
              <w:spacing w:after="0"/>
            </w:pPr>
            <w:r>
              <w:rPr>
                <w:rFonts w:ascii="Calibri" w:hAnsi="Calibri"/>
                <w:b w:val="0"/>
                <w:i w:val="0"/>
                <w:color w:val="000000"/>
                <w:sz w:val="18"/>
              </w:rPr>
              <w:t>Keiko Ward</w:t>
            </w:r>
          </w:p>
        </w:tc>
      </w:tr>
    </w:tbl>
    <w:p>
      <w:pPr>
        <w:pStyle w:val="Heading1"/>
        <w:keepLines/>
      </w:pPr>
      <w:r>
        <w:t>Next steps</w:t>
      </w:r>
    </w:p>
    <w:p>
      <w:pPr>
        <w:keepLines/>
      </w:pPr>
      <w:r>
        <w:t>Upon written confirmation, Summit Vale will issue a concise kickoff note, confirm named client counterparts, and schedule the first sponsor session within five business days. This proposal remains valid for 30 days from its issue date.</w:t>
      </w:r>
    </w:p>
    <w:p>
      <w:pPr>
        <w:pStyle w:val="Heading1"/>
        <w:keepLines/>
      </w:pPr>
      <w:r>
        <w:t>Cross-engagement exclusions</w:t>
      </w:r>
    </w:p>
    <w:p>
      <w:pPr>
        <w:keepLines/>
      </w:pPr>
      <w:r>
        <w:t>Unless expressly agreed in writing, Summit Vale will not operate client systems, sign contracts, negotiate with third parties on the client’s behalf, provide regulated advice, certify financial statements, or assume management responsibility.</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Summit Vale Advisory | 13 July 2026 | Synthetic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CONFIDENTIAL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Assumptions and Exclusions</dc:title>
  <dc:subject>Synthetic management consulting proposal</dc:subject>
  <dc:creator/>
  <cp:keywords>proposal, synthetic, Summit Vale Advisory</cp:keywords>
  <dc:description>Synthetic-only planning artifact</dc:description>
  <cp:lastModifiedBy/>
  <cp:revision>1</cp:revision>
  <dcterms:created xsi:type="dcterms:W3CDTF">2013-12-23T23:15:00Z</dcterms:created>
  <dcterms:modified xsi:type="dcterms:W3CDTF">2013-12-23T23:15:00Z</dcterms:modified>
  <cp:category/>
</cp:coreProperties>
</file>