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Research Plan</w:t>
      </w:r>
    </w:p>
    <w:p>
      <w:pPr>
        <w:pStyle w:val="Subtitle"/>
      </w:pPr>
      <w:r>
        <w:rPr>
          <w:color w:val="007C83"/>
        </w:rPr>
        <w:t>Orchid Cellworks | Study Alpha | Cohort A-24 | Baseline 2026-07-13</w:t>
      </w:r>
    </w:p>
    <w:p>
      <w:r>
        <w:t>Working plan for a synthetic baseline immunoassay review on a Windows laboratory workstation. This plan is a research-operational guide, not a clinical protocol or patient document.</w:t>
      </w:r>
    </w:p>
    <w:p>
      <w:pPr>
        <w:pStyle w:val="Heading1"/>
      </w:pPr>
      <w:r>
        <w:t>Planning objective</w:t>
      </w:r>
    </w:p>
    <w:p>
      <w:r>
        <w:t>Prepare a transparent, reviewable analysis package around the cohort A-24 baseline value of 6.8 ng/mL. The goal is to preserve traceability from the local instrument export through the internal QC check to a concise decision note, while keeping the study workspace limited to synthetic material.</w:t>
      </w:r>
    </w:p>
    <w:p>
      <w:pPr>
        <w:pStyle w:val="Heading1"/>
      </w:pPr>
      <w:r>
        <w:t>Current baseline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EE8F7"/>
            <w:vAlign w:val="center"/>
          </w:tcPr>
          <w:p>
            <w:r>
              <w:t>Study</w:t>
            </w:r>
          </w:p>
        </w:tc>
        <w:tc>
          <w:tcPr>
            <w:tcW w:type="dxa" w:w="6983"/>
            <w:vAlign w:val="center"/>
          </w:tcPr>
          <w:p>
            <w:r>
              <w:t>Study Alpha</w:t>
            </w:r>
          </w:p>
        </w:tc>
      </w:tr>
      <w:tr>
        <w:tc>
          <w:tcPr>
            <w:tcW w:type="dxa" w:w="2376"/>
            <w:shd w:fill="EEE8F7"/>
            <w:vAlign w:val="center"/>
          </w:tcPr>
          <w:p>
            <w:r>
              <w:t>Cohort</w:t>
            </w:r>
          </w:p>
        </w:tc>
        <w:tc>
          <w:tcPr>
            <w:tcW w:type="dxa" w:w="6983"/>
            <w:vAlign w:val="center"/>
          </w:tcPr>
          <w:p>
            <w:r>
              <w:t>A-24</w:t>
            </w:r>
          </w:p>
        </w:tc>
      </w:tr>
      <w:tr>
        <w:tc>
          <w:tcPr>
            <w:tcW w:type="dxa" w:w="2376"/>
            <w:shd w:fill="EEE8F7"/>
            <w:vAlign w:val="center"/>
          </w:tcPr>
          <w:p>
            <w:r>
              <w:t>Baseline date</w:t>
            </w:r>
          </w:p>
        </w:tc>
        <w:tc>
          <w:tcPr>
            <w:tcW w:type="dxa" w:w="6983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2376"/>
            <w:shd w:fill="EEE8F7"/>
            <w:vAlign w:val="center"/>
          </w:tcPr>
          <w:p>
            <w:r>
              <w:t>Assay value</w:t>
            </w:r>
          </w:p>
        </w:tc>
        <w:tc>
          <w:tcPr>
            <w:tcW w:type="dxa" w:w="6983"/>
            <w:vAlign w:val="center"/>
          </w:tcPr>
          <w:p>
            <w:r>
              <w:t>6.8 ng/mL</w:t>
            </w:r>
          </w:p>
        </w:tc>
      </w:tr>
      <w:tr>
        <w:tc>
          <w:tcPr>
            <w:tcW w:type="dxa" w:w="2376"/>
            <w:shd w:fill="EEE8F7"/>
            <w:vAlign w:val="center"/>
          </w:tcPr>
          <w:p>
            <w:r>
              <w:t>Workstation context</w:t>
            </w:r>
          </w:p>
        </w:tc>
        <w:tc>
          <w:tcPr>
            <w:tcW w:type="dxa" w:w="6983"/>
            <w:vAlign w:val="center"/>
          </w:tcPr>
          <w:p>
            <w:r>
              <w:t>Windows lab workstation, en-US</w:t>
            </w:r>
          </w:p>
        </w:tc>
      </w:tr>
    </w:tbl>
    <w:p>
      <w:pPr>
        <w:pStyle w:val="Heading1"/>
      </w:pPr>
      <w:r>
        <w:t>Four-stage work plan</w:t>
      </w:r>
    </w:p>
    <w:p>
      <w:pPr>
        <w:pStyle w:val="Heading2"/>
      </w:pPr>
      <w:r>
        <w:t>1. Capture and reconcile</w:t>
      </w:r>
    </w:p>
    <w:p>
      <w:r>
        <w:t>Confirm that the local export headers, cohort label, baseline date, and reported unit align with the personal assay-checks workbook. Record any mismatch as a review note rather than altering raw observations.</w:t>
      </w:r>
    </w:p>
    <w:p>
      <w:pPr>
        <w:pStyle w:val="Heading2"/>
      </w:pPr>
      <w:r>
        <w:t>2. Verify quality context</w:t>
      </w:r>
    </w:p>
    <w:p>
      <w:r>
        <w:t>Review curve acceptance, control status, and basic workstation checks. Treat the 6.8 ng/mL reading as analysis-ready only when the visible quality checks remain within the synthetic study window.</w:t>
      </w:r>
    </w:p>
    <w:p>
      <w:pPr>
        <w:pStyle w:val="Heading2"/>
      </w:pPr>
      <w:r>
        <w:t>3. Prepare analysis note</w:t>
      </w:r>
    </w:p>
    <w:p>
      <w:r>
        <w:t>Summarize the cohort-level reading, decision boundary, and any follow-up required. Use the study map to keep the sequence from baseline through QC review visible to an internal reader.</w:t>
      </w:r>
    </w:p>
    <w:p>
      <w:pPr>
        <w:pStyle w:val="Heading2"/>
      </w:pPr>
      <w:r>
        <w:t>4. Package and retain</w:t>
      </w:r>
    </w:p>
    <w:p>
      <w:r>
        <w:t>Save the summary, worksheet, and validator together in the personal cloud folder. Preserve a clear handoff note for the next scheduled research review.</w:t>
      </w:r>
    </w:p>
    <w:p>
      <w:pPr>
        <w:pStyle w:val="Heading1"/>
      </w:pPr>
      <w:r>
        <w:t>Acceptance checks</w:t>
      </w:r>
    </w:p>
    <w:p>
      <w:pPr>
        <w:pStyle w:val="ListBullet"/>
      </w:pPr>
      <w:r>
        <w:t>All labels consistently identify Study Alpha and cohort A-24.</w:t>
      </w:r>
    </w:p>
    <w:p>
      <w:pPr>
        <w:pStyle w:val="ListBullet"/>
      </w:pPr>
      <w:r>
        <w:t>The baseline date is 2026-07-13 in every artifact.</w:t>
      </w:r>
    </w:p>
    <w:p>
      <w:pPr>
        <w:pStyle w:val="ListBullet"/>
      </w:pPr>
      <w:r>
        <w:t>The assay unit is recorded as ng/mL and the displayed value is 6.8.</w:t>
      </w:r>
    </w:p>
    <w:p>
      <w:pPr>
        <w:pStyle w:val="ListBullet"/>
      </w:pPr>
      <w:r>
        <w:t>The validator can parse a synthetic export record and reject an anchor mismatch.</w:t>
      </w:r>
    </w:p>
    <w:p>
      <w:pPr>
        <w:pStyle w:val="ListBullet"/>
      </w:pPr>
      <w:r>
        <w:t>No personal identifiers, patient data, credentials, or external study data are introduced.</w:t>
      </w:r>
    </w:p>
    <w:p>
      <w:pPr>
        <w:pStyle w:val="Heading1"/>
      </w:pPr>
      <w:r>
        <w:t>Decision rule and follow-up</w:t>
      </w:r>
    </w:p>
    <w:p>
      <w:r>
        <w:t>For this planning package, a value at or above 6.0 ng/mL with a QC-pass record is routed to internal analysis preparation. The cohort A-24 reading of 6.8 ng/mL therefore moves forward as a synthetic analysis candidate. A result outside that condition would be held for a documented review; it would not be interpreted clinically.</w:t>
      </w:r>
    </w:p>
    <w:p>
      <w:r>
        <w:rPr>
          <w:i/>
        </w:rPr>
        <w:t>Synthetic-data notice: the company, study, cohort, result, and workflow context are fictional and contain no real participant, patient, or specimen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internal research material | Windows laboratory workstation context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4278F"/>
        <w:sz w:val="14"/>
      </w:rPr>
      <w:t>ORCHID CELLWORKS  |  STUDY ALPHA WORKING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54278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007C8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54278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