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73F5F"/>
          <w:sz w:val="44"/>
        </w:rPr>
        <w:t>Laboratory Reference Guide</w:t>
      </w:r>
    </w:p>
    <w:p>
      <w:pPr>
        <w:spacing w:after="240"/>
        <w:jc w:val="center"/>
      </w:pPr>
      <w:r>
        <w:rPr>
          <w:i/>
          <w:color w:val="5B6B78"/>
          <w:sz w:val="20"/>
        </w:rPr>
        <w:t>Assay reading and conversion practice | Alpha A-24 / Beta B-16</w:t>
      </w:r>
    </w:p>
    <w:p>
      <w:pPr>
        <w:pStyle w:val="Heading1"/>
      </w:pPr>
      <w:r>
        <w:t>Working purpose</w:t>
      </w:r>
    </w:p>
    <w:p>
      <w:r>
        <w:t>This guide supports consistent reading of fictional assay references in the Orchid Cellworks Windows laboratory workspace. It applies only to synthetic cohorts and internal training records dated 2026-07-13.</w:t>
      </w:r>
    </w:p>
    <w:p>
      <w:pPr>
        <w:pStyle w:val="Heading1"/>
      </w:pPr>
      <w:r>
        <w:t>Three-step assay review</w:t>
      </w:r>
    </w:p>
    <w:tbl>
      <w:tblPr>
        <w:tblStyle w:val="TableGrid"/>
        <w:tblW w:type="auto" w:w="0"/>
        <w:jc w:val="left"/>
        <w:tblLook w:firstColumn="1" w:firstRow="1" w:lastColumn="0" w:lastRow="0" w:noHBand="0" w:noVBand="1" w:val="04A0"/>
      </w:tblPr>
      <w:tblGrid>
        <w:gridCol w:w="3264"/>
        <w:gridCol w:w="3264"/>
        <w:gridCol w:w="3264"/>
      </w:tblGrid>
      <w:tr>
        <w:tc>
          <w:tcPr>
            <w:tcW w:type="dxa" w:w="1440"/>
            <w:vAlign w:val="center"/>
            <w:shd w:fill="EAF1F7"/>
          </w:tcPr>
          <w:p>
            <w:pPr>
              <w:spacing w:after="0"/>
            </w:pPr>
            <w:r/>
            <w:r>
              <w:rPr>
                <w:rFonts w:ascii="Aptos" w:hAnsi="Aptos"/>
                <w:b/>
                <w:sz w:val="18"/>
              </w:rPr>
              <w:t>Step</w:t>
            </w:r>
          </w:p>
        </w:tc>
        <w:tc>
          <w:tcPr>
            <w:tcW w:type="dxa" w:w="4320"/>
            <w:vAlign w:val="center"/>
            <w:shd w:fill="EAF1F7"/>
          </w:tcPr>
          <w:p>
            <w:pPr>
              <w:spacing w:after="0"/>
            </w:pPr>
            <w:r/>
            <w:r>
              <w:rPr>
                <w:rFonts w:ascii="Aptos" w:hAnsi="Aptos"/>
                <w:b/>
                <w:sz w:val="18"/>
              </w:rPr>
              <w:t>What to verify</w:t>
            </w:r>
          </w:p>
        </w:tc>
        <w:tc>
          <w:tcPr>
            <w:tcW w:type="dxa" w:w="2304"/>
            <w:vAlign w:val="center"/>
            <w:shd w:fill="EAF1F7"/>
          </w:tcPr>
          <w:p>
            <w:pPr>
              <w:spacing w:after="0"/>
            </w:pPr>
            <w:r/>
            <w:r>
              <w:rPr>
                <w:rFonts w:ascii="Aptos" w:hAnsi="Aptos"/>
                <w:b/>
                <w:sz w:val="18"/>
              </w:rPr>
              <w:t>Example</w:t>
            </w:r>
          </w:p>
        </w:tc>
      </w:tr>
      <w:tr>
        <w:tc>
          <w:tcPr>
            <w:tcW w:type="dxa" w:w="1440"/>
            <w:vAlign w:val="center"/>
          </w:tcPr>
          <w:p>
            <w:pPr>
              <w:spacing w:after="0"/>
            </w:pPr>
            <w:r/>
            <w:r>
              <w:rPr>
                <w:rFonts w:ascii="Aptos" w:hAnsi="Aptos"/>
                <w:b w:val="0"/>
                <w:sz w:val="18"/>
              </w:rPr>
              <w:t>1. Identify</w:t>
            </w:r>
          </w:p>
        </w:tc>
        <w:tc>
          <w:tcPr>
            <w:tcW w:type="dxa" w:w="4320"/>
            <w:vAlign w:val="center"/>
          </w:tcPr>
          <w:p>
            <w:pPr>
              <w:spacing w:after="0"/>
            </w:pPr>
            <w:r/>
            <w:r>
              <w:rPr>
                <w:rFonts w:ascii="Aptos" w:hAnsi="Aptos"/>
                <w:b w:val="0"/>
                <w:sz w:val="18"/>
              </w:rPr>
              <w:t>Study and cohort label agree with the run context.</w:t>
            </w:r>
          </w:p>
        </w:tc>
        <w:tc>
          <w:tcPr>
            <w:tcW w:type="dxa" w:w="2304"/>
            <w:vAlign w:val="center"/>
          </w:tcPr>
          <w:p>
            <w:pPr>
              <w:spacing w:after="0"/>
            </w:pPr>
            <w:r/>
            <w:r>
              <w:rPr>
                <w:rFonts w:ascii="Aptos" w:hAnsi="Aptos"/>
                <w:b w:val="0"/>
                <w:sz w:val="18"/>
              </w:rPr>
              <w:t>Study Alpha / A-24</w:t>
            </w:r>
          </w:p>
        </w:tc>
      </w:tr>
      <w:tr>
        <w:tc>
          <w:tcPr>
            <w:tcW w:type="dxa" w:w="1440"/>
            <w:vAlign w:val="center"/>
          </w:tcPr>
          <w:p>
            <w:pPr>
              <w:spacing w:after="0"/>
            </w:pPr>
            <w:r/>
            <w:r>
              <w:rPr>
                <w:rFonts w:ascii="Aptos" w:hAnsi="Aptos"/>
                <w:b w:val="0"/>
                <w:sz w:val="18"/>
              </w:rPr>
              <w:t>2. Preserve</w:t>
            </w:r>
          </w:p>
        </w:tc>
        <w:tc>
          <w:tcPr>
            <w:tcW w:type="dxa" w:w="4320"/>
            <w:vAlign w:val="center"/>
          </w:tcPr>
          <w:p>
            <w:pPr>
              <w:spacing w:after="0"/>
            </w:pPr>
            <w:r/>
            <w:r>
              <w:rPr>
                <w:rFonts w:ascii="Aptos" w:hAnsi="Aptos"/>
                <w:b w:val="0"/>
                <w:sz w:val="18"/>
              </w:rPr>
              <w:t>Source reading and dilution factor remain distinct.</w:t>
            </w:r>
          </w:p>
        </w:tc>
        <w:tc>
          <w:tcPr>
            <w:tcW w:type="dxa" w:w="2304"/>
            <w:vAlign w:val="center"/>
          </w:tcPr>
          <w:p>
            <w:pPr>
              <w:spacing w:after="0"/>
            </w:pPr>
            <w:r/>
            <w:r>
              <w:rPr>
                <w:rFonts w:ascii="Aptos" w:hAnsi="Aptos"/>
                <w:b w:val="0"/>
                <w:sz w:val="18"/>
              </w:rPr>
              <w:t>6.8 ng/mL; dilution 1:5</w:t>
            </w:r>
          </w:p>
        </w:tc>
      </w:tr>
      <w:tr>
        <w:tc>
          <w:tcPr>
            <w:tcW w:type="dxa" w:w="1440"/>
            <w:vAlign w:val="center"/>
          </w:tcPr>
          <w:p>
            <w:pPr>
              <w:spacing w:after="0"/>
            </w:pPr>
            <w:r/>
            <w:r>
              <w:rPr>
                <w:rFonts w:ascii="Aptos" w:hAnsi="Aptos"/>
                <w:b w:val="0"/>
                <w:sz w:val="18"/>
              </w:rPr>
              <w:t>3. Convert</w:t>
            </w:r>
          </w:p>
        </w:tc>
        <w:tc>
          <w:tcPr>
            <w:tcW w:type="dxa" w:w="4320"/>
            <w:vAlign w:val="center"/>
          </w:tcPr>
          <w:p>
            <w:pPr>
              <w:spacing w:after="0"/>
            </w:pPr>
            <w:r/>
            <w:r>
              <w:rPr>
                <w:rFonts w:ascii="Aptos" w:hAnsi="Aptos"/>
                <w:b w:val="0"/>
                <w:sz w:val="18"/>
              </w:rPr>
              <w:t>Unit expression preserves the same concentration.</w:t>
            </w:r>
          </w:p>
        </w:tc>
        <w:tc>
          <w:tcPr>
            <w:tcW w:type="dxa" w:w="2304"/>
            <w:vAlign w:val="center"/>
          </w:tcPr>
          <w:p>
            <w:pPr>
              <w:spacing w:after="0"/>
            </w:pPr>
            <w:r/>
            <w:r>
              <w:rPr>
                <w:rFonts w:ascii="Aptos" w:hAnsi="Aptos"/>
                <w:b w:val="0"/>
                <w:sz w:val="18"/>
              </w:rPr>
              <w:t>6.8 ng/mL = 6.8 pg/uL</w:t>
            </w:r>
          </w:p>
        </w:tc>
      </w:tr>
    </w:tbl>
    <w:p>
      <w:pPr>
        <w:pStyle w:val="Heading1"/>
      </w:pPr>
      <w:r>
        <w:t>Unit discipline</w:t>
      </w:r>
    </w:p>
    <w:p>
      <w:r>
        <w:t>A concentration result must carry both mass and volume. The direct ng/mL to pg/uL relationship is numerically unchanged because the mass and volume prefixes move together by the same factor. Keep a dilution factor in its own field; it is not part of the unit.</w:t>
      </w:r>
    </w:p>
    <w:p>
      <w:pPr>
        <w:pStyle w:val="Heading1"/>
      </w:pPr>
      <w:r>
        <w:t>Reference notes</w:t>
      </w:r>
    </w:p>
    <w:p>
      <w:r>
        <w:t>Use Alpha A-24 only when the source context names Alpha. Beta B-16 is a separate synthetic comparison cohort. A blank is a control state, not a zero-concentration cohort observation.</w:t>
      </w:r>
    </w:p>
    <w:p>
      <w:pPr>
        <w:pStyle w:val="Heading1"/>
      </w:pPr>
      <w:r>
        <w:t>Internal review trigger</w:t>
      </w:r>
    </w:p>
    <w:p>
      <w:r>
        <w:t>Route the record for review if the label, date, instrument name, or unit basis is missing or inconsistent. Do not infer the missing value. This guide contains no clinical interpretation or external standard.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Orchid Cellworks | Synthetic internal reference | 2026-07-13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F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6B3F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