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 Display" w:hAnsi="Aptos Display"/>
          <w:b/>
          <w:color w:val="173F5F"/>
          <w:sz w:val="44"/>
        </w:rPr>
        <w:t>Synthetic Data Handling Guide</w:t>
      </w:r>
    </w:p>
    <w:p>
      <w:pPr>
        <w:spacing w:after="240"/>
        <w:jc w:val="center"/>
      </w:pPr>
      <w:r>
        <w:rPr>
          <w:i/>
          <w:color w:val="5B6B78"/>
          <w:sz w:val="20"/>
        </w:rPr>
        <w:t>Reference-safe handling for fictional study records</w:t>
      </w:r>
    </w:p>
    <w:p>
      <w:pPr>
        <w:pStyle w:val="Heading1"/>
      </w:pPr>
      <w:r>
        <w:t>Data boundary</w:t>
      </w:r>
    </w:p>
    <w:p>
      <w:r>
        <w:t>All records described here are fictional Orchid Cellworks training material. Store only the synthetic program, cohort, run date, lane, measurement, unit, dilution factor, and review status. Do not introduce real-person, patient, sample, vendor, or credential data.</w:t>
      </w:r>
    </w:p>
    <w:p>
      <w:pPr>
        <w:pStyle w:val="Heading1"/>
      </w:pPr>
      <w:r>
        <w:t>Recommended field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EAF1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2232"/>
            <w:vAlign w:val="center"/>
            <w:shd w:fill="EAF1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Example</w:t>
            </w:r>
          </w:p>
        </w:tc>
        <w:tc>
          <w:tcPr>
            <w:tcW w:type="dxa" w:w="3600"/>
            <w:vAlign w:val="center"/>
            <w:shd w:fill="EAF1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ALPHA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Synthetic study family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cohort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A24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Synthetic cohort grouping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run_date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2026-07-13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Local lab reference date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assay_lane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Processing lane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concentration_value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6.8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Observed numeric result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concentration_unit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ng/mL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Unit stored separately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review_status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verified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Internal check state</w:t>
            </w:r>
          </w:p>
        </w:tc>
      </w:tr>
    </w:tbl>
    <w:p>
      <w:pPr>
        <w:pStyle w:val="Heading1"/>
      </w:pPr>
      <w:r>
        <w:t>Naming rules</w:t>
      </w:r>
    </w:p>
    <w:p>
      <w:r>
        <w:t>Build a readable code from program, cohort, date, lane, and record type. Example: ALPHA-A24-20260713-R1-OBS. Keep measurement values out of the code so that a conversion does not change the record identity.</w:t>
      </w:r>
    </w:p>
    <w:p>
      <w:pPr>
        <w:pStyle w:val="Heading1"/>
      </w:pPr>
      <w:r>
        <w:t>Export checks</w:t>
      </w:r>
    </w:p>
    <w:p>
      <w:r>
        <w:t>Before exporting, confirm that Alpha pairs with A24 and Beta pairs with B16; validate the date; require a unit whenever a concentration is present; preserve the original value; and record transformations in a separate note. Exports remain synthetic-only and contain no external contacts, payment data, or access information.</w:t>
      </w:r>
    </w:p>
    <w:p>
      <w:pPr>
        <w:pStyle w:val="Heading1"/>
      </w:pPr>
      <w:r>
        <w:t>Retention note</w:t>
      </w:r>
    </w:p>
    <w:p>
      <w:r>
        <w:t>Reference files are intended for lab practice and internal consistency checks. If a record appears to contain non-synthetic material, remove it from this training workflow and seek internal review.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Orchid Cellworks | Synthetic internal reference | 2026-07-13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B3F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