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Study Alpha A-24 Translational Research Grant</w:t>
      </w:r>
    </w:p>
    <w:p>
      <w:pPr>
        <w:jc w:val="center"/>
      </w:pPr>
      <w:r>
        <w:rPr>
          <w:i/>
          <w:color w:val="5B6770"/>
          <w:sz w:val="22"/>
        </w:rPr>
        <w:t>Seed application narrative | Version 0.9 | Internal review draft</w:t>
      </w:r>
    </w:p>
    <w:tbl>
      <w:tblPr>
        <w:tblW w:type="auto" w:w="0"/>
        <w:jc w:val="left"/>
        <w:tblLayout w:type="fixed"/>
        <w:tblLook w:firstColumn="1" w:firstRow="1" w:lastColumn="0" w:lastRow="0" w:noHBand="0" w:noVBand="1" w:val="04A0"/>
      </w:tblPr>
      <w:tblGrid>
        <w:gridCol w:w="4896"/>
        <w:gridCol w:w="4896"/>
      </w:tblGrid>
      <w:tr>
        <w:tc>
          <w:tcPr>
            <w:tcW w:type="dxa" w:w="2088"/>
            <w:vAlign w:val="center"/>
            <w:shd w:fill="17365D"/>
          </w:tcPr>
          <w:p>
            <w:pPr>
              <w:spacing w:after="40"/>
            </w:pPr>
            <w:r/>
            <w:r>
              <w:rPr>
                <w:rFonts w:ascii="Aptos" w:hAnsi="Aptos"/>
                <w:b/>
                <w:color w:val="FFFFFF"/>
                <w:sz w:val="18"/>
              </w:rPr>
              <w:t>Applicant</w:t>
            </w:r>
          </w:p>
        </w:tc>
        <w:tc>
          <w:tcPr>
            <w:tcW w:type="dxa" w:w="7488"/>
            <w:vAlign w:val="center"/>
          </w:tcPr>
          <w:p>
            <w:pPr>
              <w:spacing w:after="40"/>
            </w:pPr>
            <w:r/>
            <w:r>
              <w:rPr>
                <w:rFonts w:ascii="Aptos" w:hAnsi="Aptos"/>
                <w:b w:val="0"/>
                <w:color w:val="000000"/>
                <w:sz w:val="18"/>
              </w:rPr>
              <w:t>Orchid Cellworks</w:t>
            </w:r>
          </w:p>
        </w:tc>
      </w:tr>
      <w:tr>
        <w:tc>
          <w:tcPr>
            <w:tcW w:type="dxa" w:w="2088"/>
            <w:vAlign w:val="center"/>
            <w:shd w:fill="17365D"/>
          </w:tcPr>
          <w:p>
            <w:pPr>
              <w:spacing w:after="40"/>
            </w:pPr>
            <w:r/>
            <w:r>
              <w:rPr>
                <w:rFonts w:ascii="Aptos" w:hAnsi="Aptos"/>
                <w:b/>
                <w:color w:val="FFFFFF"/>
                <w:sz w:val="18"/>
              </w:rPr>
              <w:t>Study</w:t>
            </w:r>
          </w:p>
        </w:tc>
        <w:tc>
          <w:tcPr>
            <w:tcW w:type="dxa" w:w="7488"/>
            <w:vAlign w:val="center"/>
          </w:tcPr>
          <w:p>
            <w:pPr>
              <w:spacing w:after="40"/>
            </w:pPr>
            <w:r/>
            <w:r>
              <w:rPr>
                <w:rFonts w:ascii="Aptos" w:hAnsi="Aptos"/>
                <w:b w:val="0"/>
                <w:color w:val="000000"/>
                <w:sz w:val="18"/>
              </w:rPr>
              <w:t>Study Alpha — cohort A-24</w:t>
            </w:r>
          </w:p>
        </w:tc>
      </w:tr>
      <w:tr>
        <w:tc>
          <w:tcPr>
            <w:tcW w:type="dxa" w:w="2088"/>
            <w:vAlign w:val="center"/>
            <w:shd w:fill="17365D"/>
          </w:tcPr>
          <w:p>
            <w:pPr>
              <w:spacing w:after="40"/>
            </w:pPr>
            <w:r/>
            <w:r>
              <w:rPr>
                <w:rFonts w:ascii="Aptos" w:hAnsi="Aptos"/>
                <w:b/>
                <w:color w:val="FFFFFF"/>
                <w:sz w:val="18"/>
              </w:rPr>
              <w:t>Baseline</w:t>
            </w:r>
          </w:p>
        </w:tc>
        <w:tc>
          <w:tcPr>
            <w:tcW w:type="dxa" w:w="7488"/>
            <w:vAlign w:val="center"/>
          </w:tcPr>
          <w:p>
            <w:pPr>
              <w:spacing w:after="40"/>
            </w:pPr>
            <w:r/>
            <w:r>
              <w:rPr>
                <w:rFonts w:ascii="Aptos" w:hAnsi="Aptos"/>
                <w:b w:val="0"/>
                <w:color w:val="000000"/>
                <w:sz w:val="18"/>
              </w:rPr>
              <w:t>2026-07-13</w:t>
            </w:r>
          </w:p>
        </w:tc>
      </w:tr>
      <w:tr>
        <w:tc>
          <w:tcPr>
            <w:tcW w:type="dxa" w:w="2088"/>
            <w:vAlign w:val="center"/>
            <w:shd w:fill="17365D"/>
          </w:tcPr>
          <w:p>
            <w:pPr>
              <w:spacing w:after="40"/>
            </w:pPr>
            <w:r/>
            <w:r>
              <w:rPr>
                <w:rFonts w:ascii="Aptos" w:hAnsi="Aptos"/>
                <w:b/>
                <w:color w:val="FFFFFF"/>
                <w:sz w:val="18"/>
              </w:rPr>
              <w:t>Protocol</w:t>
            </w:r>
          </w:p>
        </w:tc>
        <w:tc>
          <w:tcPr>
            <w:tcW w:type="dxa" w:w="7488"/>
            <w:vAlign w:val="center"/>
          </w:tcPr>
          <w:p>
            <w:pPr>
              <w:spacing w:after="40"/>
            </w:pPr>
            <w:r/>
            <w:r>
              <w:rPr>
                <w:rFonts w:ascii="Aptos" w:hAnsi="Aptos"/>
                <w:b w:val="0"/>
                <w:color w:val="000000"/>
                <w:sz w:val="18"/>
              </w:rPr>
              <w:t>OCW-BIO-017</w:t>
            </w:r>
          </w:p>
        </w:tc>
      </w:tr>
      <w:tr>
        <w:tc>
          <w:tcPr>
            <w:tcW w:type="dxa" w:w="2088"/>
            <w:vAlign w:val="center"/>
            <w:shd w:fill="17365D"/>
          </w:tcPr>
          <w:p>
            <w:pPr>
              <w:spacing w:after="40"/>
            </w:pPr>
            <w:r/>
            <w:r>
              <w:rPr>
                <w:rFonts w:ascii="Aptos" w:hAnsi="Aptos"/>
                <w:b/>
                <w:color w:val="FFFFFF"/>
                <w:sz w:val="18"/>
              </w:rPr>
              <w:t>Primary assay</w:t>
            </w:r>
          </w:p>
        </w:tc>
        <w:tc>
          <w:tcPr>
            <w:tcW w:type="dxa" w:w="7488"/>
            <w:vAlign w:val="center"/>
          </w:tcPr>
          <w:p>
            <w:pPr>
              <w:spacing w:after="40"/>
            </w:pPr>
            <w:r/>
            <w:r>
              <w:rPr>
                <w:rFonts w:ascii="Aptos" w:hAnsi="Aptos"/>
                <w:b w:val="0"/>
                <w:color w:val="000000"/>
                <w:sz w:val="18"/>
              </w:rPr>
              <w:t>assay 6.8 ng/mL</w:t>
            </w:r>
          </w:p>
        </w:tc>
      </w:tr>
    </w:tbl>
    <w:p/>
    <w:p>
      <w:pPr>
        <w:pStyle w:val="Heading1"/>
      </w:pPr>
      <w:r>
        <w:t>Project summary</w:t>
      </w:r>
    </w:p>
    <w:p>
      <w:r>
        <w:t>Study Alpha is a fictional translational assay-readiness program designed to convert an analytically controlled signal into a decision-ready evidence package. The A-24 cohort is represented exclusively by synthetic coded records OCW-A24-001 through OCW-A24-024. This application requests support for a staged confirmation package that preserves traceability, documents repeatability, and establishes an explicit go/no-go decision path.</w:t>
      </w:r>
    </w:p>
    <w:p>
      <w:pPr>
        <w:pStyle w:val="Heading2"/>
      </w:pPr>
      <w:r>
        <w:t>Need and opportunity</w:t>
      </w:r>
    </w:p>
    <w:p>
      <w:r>
        <w:t>The program’s preliminary synthetic run, ALPHA-A24-R03, produced a median signal of 6.8 ng/mL. The proposed work does not claim clinical utility; it tests whether a controlled laboratory workflow can meet predefined analytical acceptance criteria before any future translational decision is considered.</w:t>
      </w:r>
    </w:p>
    <w:p>
      <w:pPr>
        <w:pStyle w:val="Heading2"/>
      </w:pPr>
      <w:r>
        <w:t>Objectives</w:t>
      </w:r>
    </w:p>
    <w:p>
      <w:pPr>
        <w:pStyle w:val="ListBullet"/>
      </w:pPr>
      <w:r>
        <w:t>Confirm run-level repeatability across three planned verification runs using protocol OCW-BIO-017.</w:t>
      </w:r>
    </w:p>
    <w:p>
      <w:pPr>
        <w:pStyle w:val="ListBullet"/>
      </w:pPr>
      <w:r>
        <w:t>Maintain duplicate coefficient of variation at or below 10% and recovery between 90% and 110%.</w:t>
      </w:r>
    </w:p>
    <w:p>
      <w:pPr>
        <w:pStyle w:val="ListBullet"/>
      </w:pPr>
      <w:r>
        <w:t>Deliver a concise evidence package, decision log, and reproducible milestone/budget model for internal review.</w:t>
      </w:r>
    </w:p>
    <w:p>
      <w:pPr>
        <w:pStyle w:val="Heading2"/>
      </w:pPr>
      <w:r>
        <w:t>Governance and safeguards</w:t>
      </w:r>
    </w:p>
    <w:p>
      <w:r>
        <w:t>All materials in this grant packet are fictional and use only synthetic coded identifiers. No patient, participant, specimen, credential, or production data are included. Review gates will compare documented analytical criteria against the protocol-defined acceptance matrix.</w:t>
      </w:r>
    </w:p>
    <w:tbl>
      <w:tblPr>
        <w:tblW w:type="auto" w:w="0"/>
        <w:jc w:val="left"/>
        <w:tblLayout w:type="fixed"/>
        <w:tblLook w:firstColumn="1" w:firstRow="1" w:lastColumn="0" w:lastRow="0" w:noHBand="0" w:noVBand="1" w:val="04A0"/>
      </w:tblPr>
      <w:tblGrid>
        <w:gridCol w:w="3264"/>
        <w:gridCol w:w="3264"/>
        <w:gridCol w:w="3264"/>
      </w:tblGrid>
      <w:tr>
        <w:tc>
          <w:tcPr>
            <w:tcW w:type="dxa" w:w="2880"/>
            <w:vAlign w:val="center"/>
            <w:shd w:fill="17365D"/>
          </w:tcPr>
          <w:p>
            <w:pPr>
              <w:spacing w:after="40"/>
            </w:pPr>
            <w:r/>
            <w:r>
              <w:rPr>
                <w:rFonts w:ascii="Aptos" w:hAnsi="Aptos"/>
                <w:b/>
                <w:color w:val="FFFFFF"/>
                <w:sz w:val="18"/>
              </w:rPr>
              <w:t>Work package</w:t>
            </w:r>
          </w:p>
        </w:tc>
        <w:tc>
          <w:tcPr>
            <w:tcW w:type="dxa" w:w="2880"/>
            <w:vAlign w:val="center"/>
            <w:shd w:fill="17365D"/>
          </w:tcPr>
          <w:p>
            <w:pPr>
              <w:spacing w:after="40"/>
            </w:pPr>
            <w:r/>
            <w:r>
              <w:rPr>
                <w:rFonts w:ascii="Aptos" w:hAnsi="Aptos"/>
                <w:b/>
                <w:color w:val="FFFFFF"/>
                <w:sz w:val="18"/>
              </w:rPr>
              <w:t>Decision output</w:t>
            </w:r>
          </w:p>
        </w:tc>
        <w:tc>
          <w:tcPr>
            <w:tcW w:type="dxa" w:w="3816"/>
            <w:vAlign w:val="center"/>
            <w:shd w:fill="17365D"/>
          </w:tcPr>
          <w:p>
            <w:pPr>
              <w:spacing w:after="40"/>
            </w:pPr>
            <w:r/>
            <w:r>
              <w:rPr>
                <w:rFonts w:ascii="Aptos" w:hAnsi="Aptos"/>
                <w:b/>
                <w:color w:val="FFFFFF"/>
                <w:sz w:val="18"/>
              </w:rPr>
              <w:t>Acceptance evidence</w:t>
            </w:r>
          </w:p>
        </w:tc>
      </w:tr>
      <w:tr>
        <w:tc>
          <w:tcPr>
            <w:tcW w:type="dxa" w:w="3264"/>
            <w:vAlign w:val="center"/>
          </w:tcPr>
          <w:p>
            <w:pPr>
              <w:spacing w:after="40"/>
            </w:pPr>
            <w:r/>
            <w:r>
              <w:rPr>
                <w:rFonts w:ascii="Aptos" w:hAnsi="Aptos"/>
                <w:b w:val="0"/>
                <w:color w:val="000000"/>
                <w:sz w:val="18"/>
              </w:rPr>
              <w:t>WP1: readiness</w:t>
            </w:r>
          </w:p>
        </w:tc>
        <w:tc>
          <w:tcPr>
            <w:tcW w:type="dxa" w:w="3264"/>
            <w:vAlign w:val="center"/>
          </w:tcPr>
          <w:p>
            <w:pPr>
              <w:spacing w:after="40"/>
            </w:pPr>
            <w:r/>
            <w:r>
              <w:rPr>
                <w:rFonts w:ascii="Aptos" w:hAnsi="Aptos"/>
                <w:b w:val="0"/>
                <w:color w:val="000000"/>
                <w:sz w:val="18"/>
              </w:rPr>
              <w:t>Input lock</w:t>
            </w:r>
          </w:p>
        </w:tc>
        <w:tc>
          <w:tcPr>
            <w:tcW w:type="dxa" w:w="3264"/>
            <w:vAlign w:val="center"/>
          </w:tcPr>
          <w:p>
            <w:pPr>
              <w:spacing w:after="40"/>
            </w:pPr>
            <w:r/>
            <w:r>
              <w:rPr>
                <w:rFonts w:ascii="Aptos" w:hAnsi="Aptos"/>
                <w:b w:val="0"/>
                <w:color w:val="000000"/>
                <w:sz w:val="18"/>
              </w:rPr>
              <w:t>Coded roster and protocol cross-check</w:t>
            </w:r>
          </w:p>
        </w:tc>
      </w:tr>
      <w:tr>
        <w:tc>
          <w:tcPr>
            <w:tcW w:type="dxa" w:w="3264"/>
            <w:vAlign w:val="center"/>
          </w:tcPr>
          <w:p>
            <w:pPr>
              <w:spacing w:after="40"/>
            </w:pPr>
            <w:r/>
            <w:r>
              <w:rPr>
                <w:rFonts w:ascii="Aptos" w:hAnsi="Aptos"/>
                <w:b w:val="0"/>
                <w:color w:val="000000"/>
                <w:sz w:val="18"/>
              </w:rPr>
              <w:t>WP2: verification</w:t>
            </w:r>
          </w:p>
        </w:tc>
        <w:tc>
          <w:tcPr>
            <w:tcW w:type="dxa" w:w="3264"/>
            <w:vAlign w:val="center"/>
          </w:tcPr>
          <w:p>
            <w:pPr>
              <w:spacing w:after="40"/>
            </w:pPr>
            <w:r/>
            <w:r>
              <w:rPr>
                <w:rFonts w:ascii="Aptos" w:hAnsi="Aptos"/>
                <w:b w:val="0"/>
                <w:color w:val="000000"/>
                <w:sz w:val="18"/>
              </w:rPr>
              <w:t>QC disposition</w:t>
            </w:r>
          </w:p>
        </w:tc>
        <w:tc>
          <w:tcPr>
            <w:tcW w:type="dxa" w:w="3264"/>
            <w:vAlign w:val="center"/>
          </w:tcPr>
          <w:p>
            <w:pPr>
              <w:spacing w:after="40"/>
            </w:pPr>
            <w:r/>
            <w:r>
              <w:rPr>
                <w:rFonts w:ascii="Aptos" w:hAnsi="Aptos"/>
                <w:b w:val="0"/>
                <w:color w:val="000000"/>
                <w:sz w:val="18"/>
              </w:rPr>
              <w:t>CV ≤10%; recovery 90–110%</w:t>
            </w:r>
          </w:p>
        </w:tc>
      </w:tr>
      <w:tr>
        <w:tc>
          <w:tcPr>
            <w:tcW w:type="dxa" w:w="3264"/>
            <w:vAlign w:val="center"/>
          </w:tcPr>
          <w:p>
            <w:pPr>
              <w:spacing w:after="40"/>
            </w:pPr>
            <w:r/>
            <w:r>
              <w:rPr>
                <w:rFonts w:ascii="Aptos" w:hAnsi="Aptos"/>
                <w:b w:val="0"/>
                <w:color w:val="000000"/>
                <w:sz w:val="18"/>
              </w:rPr>
              <w:t>WP3: synthesis</w:t>
            </w:r>
          </w:p>
        </w:tc>
        <w:tc>
          <w:tcPr>
            <w:tcW w:type="dxa" w:w="3264"/>
            <w:vAlign w:val="center"/>
          </w:tcPr>
          <w:p>
            <w:pPr>
              <w:spacing w:after="40"/>
            </w:pPr>
            <w:r/>
            <w:r>
              <w:rPr>
                <w:rFonts w:ascii="Aptos" w:hAnsi="Aptos"/>
                <w:b w:val="0"/>
                <w:color w:val="000000"/>
                <w:sz w:val="18"/>
              </w:rPr>
              <w:t>Internal go/no-go</w:t>
            </w:r>
          </w:p>
        </w:tc>
        <w:tc>
          <w:tcPr>
            <w:tcW w:type="dxa" w:w="3264"/>
            <w:vAlign w:val="center"/>
          </w:tcPr>
          <w:p>
            <w:pPr>
              <w:spacing w:after="40"/>
            </w:pPr>
            <w:r/>
            <w:r>
              <w:rPr>
                <w:rFonts w:ascii="Aptos" w:hAnsi="Aptos"/>
                <w:b w:val="0"/>
                <w:color w:val="000000"/>
                <w:sz w:val="18"/>
              </w:rPr>
              <w:t>Methods, deviations, and risk register</w:t>
            </w:r>
          </w:p>
        </w:tc>
      </w:tr>
    </w:tbl>
    <w:p/>
    <w:p>
      <w:pPr>
        <w:pStyle w:val="Heading1"/>
      </w:pPr>
      <w:r>
        <w:t>Requested support</w:t>
      </w:r>
    </w:p>
    <w:p>
      <w:r>
        <w:t>A synthetic planning budget of $72,000 supports personnel effort, assay materials, quality review, and dissemination-ready documentation over a 16-week period. Funds are released by milestone rather than calendar date, reinforcing transparent control of scope and evidence quality.</w:t>
      </w:r>
    </w:p>
    <w:sectPr w:rsidR="00FC693F" w:rsidRPr="0006063C" w:rsidSect="00034616">
      <w:headerReference w:type="default" r:id="rId9"/>
      <w:footerReference w:type="default" r:id="rId10"/>
      <w:pgSz w:w="12240" w:h="15840"/>
      <w:pgMar w:top="1123" w:right="1224" w:bottom="1123"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Internal grant planning • Fictional research corpus • 2026-07-13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5B6770"/>
        <w:sz w:val="16"/>
      </w:rPr>
      <w:t>ORCHID CELLWORKS  /  STUDY ALPHA A-24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8C9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8154A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