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Strategy: Study Alpha A-24</w:t>
      </w:r>
    </w:p>
    <w:p>
      <w:pPr>
        <w:jc w:val="center"/>
      </w:pPr>
      <w:r>
        <w:rPr>
          <w:i/>
          <w:color w:val="5B6770"/>
          <w:sz w:val="22"/>
        </w:rPr>
        <w:t>Approach, controls, milestones, and decision framework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Applicant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Orchid Cellworks</w:t>
            </w:r>
          </w:p>
        </w:tc>
      </w:tr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Protocol and run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OCW-BIO-017 / ALPHA-A24-R03</w:t>
            </w:r>
          </w:p>
        </w:tc>
      </w:tr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Baseline observation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Synthetic median: 6.8 ng/mL</w:t>
            </w:r>
          </w:p>
        </w:tc>
      </w:tr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Fictional coded cohort A-24; 24 synthetic records</w:t>
            </w:r>
          </w:p>
        </w:tc>
      </w:tr>
    </w:tbl>
    <w:p/>
    <w:p>
      <w:pPr>
        <w:pStyle w:val="Heading1"/>
      </w:pPr>
      <w:r>
        <w:t>Significance</w:t>
      </w:r>
    </w:p>
    <w:p>
      <w:r>
        <w:t>A translational program benefits when analytical evidence is structured before decisions are made. Study Alpha addresses this need with a narrow, controlled test: whether a locked assay workflow can meet precision and recovery thresholds while producing reviewable documentation.</w:t>
      </w:r>
    </w:p>
    <w:p>
      <w:pPr>
        <w:pStyle w:val="Heading1"/>
      </w:pPr>
      <w:r>
        <w:t>Innovation</w:t>
      </w:r>
    </w:p>
    <w:p>
      <w:r>
        <w:t>The strategy couples predeclared acceptance criteria with a milestone-funded workplan. Rather than treating quality review as a closing activity, each phase creates a reviewable artifact and a documented decision point.</w:t>
      </w:r>
    </w:p>
    <w:p>
      <w:pPr>
        <w:pStyle w:val="Heading1"/>
      </w:pPr>
      <w:r>
        <w:t>Approach</w:t>
      </w:r>
    </w:p>
    <w:p>
      <w:r>
        <w:t>Phase 1 — readiness (weeks 1–3). Confirm the synthetic coded roster, reagent traceability record, and protocol version. Phase 2 — verification (weeks 4–9). Perform planned confirmation runs and calculate duplicate CV and recovery. Phase 3 — review (weeks 10–13). Reconcile deviations, confirm acceptance status, and prepare an evidence narrative. Phase 4 — decision package (weeks 14–16). Submit an internal recommendation with actions, owners, and budget reconciliation.</w:t>
      </w:r>
    </w:p>
    <w:p>
      <w:pPr>
        <w:pStyle w:val="Heading2"/>
      </w:pPr>
      <w:r>
        <w:t>Quality plan</w:t>
      </w:r>
    </w:p>
    <w:p>
      <w:pPr>
        <w:pStyle w:val="ListBullet"/>
      </w:pPr>
      <w:r>
        <w:t>Precision criterion: duplicate CV ≤10%.</w:t>
      </w:r>
    </w:p>
    <w:p>
      <w:pPr>
        <w:pStyle w:val="ListBullet"/>
      </w:pPr>
      <w:r>
        <w:t>Recovery criterion: 90–110%.</w:t>
      </w:r>
    </w:p>
    <w:p>
      <w:pPr>
        <w:pStyle w:val="ListBullet"/>
      </w:pPr>
      <w:r>
        <w:t>Signal context: baseline median 6.8 ng/mL is descriptive, not a clinical endpoint.</w:t>
      </w:r>
    </w:p>
    <w:p>
      <w:pPr>
        <w:pStyle w:val="ListBullet"/>
      </w:pPr>
      <w:r>
        <w:t>Exception control: any failed criterion is recorded, investigated, and closed before recommendation.</w:t>
      </w:r>
    </w:p>
    <w:p>
      <w:pPr>
        <w:pStyle w:val="Heading2"/>
      </w:pPr>
      <w:r>
        <w:t>Analysis and interpretation</w:t>
      </w:r>
    </w:p>
    <w:p>
      <w:r>
        <w:t>For each synthetic identifier, the two planned measurements will be summarized as a mean, duplicate CV, and recovery percentage. Run-level summaries will show median response and the count of records within each threshold. A pass requires complete evidence and no unclosed critical quality issue; a conditional outcome triggers a scoped corrective-action plan.</w:t>
      </w:r>
    </w:p>
    <w:p>
      <w:pPr>
        <w:pStyle w:val="Heading1"/>
      </w:pPr>
      <w:r>
        <w:t>Risks and alternatives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 trigger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Precision drift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Repeat controlled run; inspect handling record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CV &gt;10%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Recovery excursion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Confirm control preparation; rerun affected set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Outside 90–110%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Documentation gap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Reconcile source log before review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Traceability incomplete</w:t>
            </w:r>
          </w:p>
        </w:tc>
      </w:tr>
    </w:tbl>
    <w:p/>
    <w:p>
      <w:pPr>
        <w:pStyle w:val="Heading1"/>
      </w:pPr>
      <w:r>
        <w:t>Milestones and dissemination</w:t>
      </w:r>
    </w:p>
    <w:p>
      <w:r>
        <w:t>The milestone/budget model maps funds to the same gates described here. The final internal packet will include this strategy, specific aims, a workplan figure, review actions, and a checklist. All deliverables remain fictional corpus artifacts.</w:t>
      </w:r>
    </w:p>
    <w:p>
      <w:pPr>
        <w:pStyle w:val="Heading2"/>
        <w:spacing w:before="160" w:after="80"/>
      </w:pPr>
      <w:r>
        <w:t>16-week milestone timeline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58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Milestone &amp; evidence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Budget release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Weeks 1–3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lock: coded roster, protocol OCW-BIO-017, and calculation template reconciled.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18% • $12,960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Weeks 4–9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Three controlled verification runs; duplicate CV and recovery review recorded.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32% • $23,040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Weeks 10–13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Quality review: exceptions investigated, corrective actions closed, evidence reconciled.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25% • $18,000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Weeks 14–16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Decision package: strategy, figure, checklist, action log, and budget closeout assembled.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25% • $18,000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Closeout and decision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Accountable role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Closeout responsibility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Assay lead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Confirms run record and duplicate-CV evidence for ALPHA-A24-R03 follow-up.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Accept or escalate precision evidence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Quality reviewer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Closes recovery exceptions against the 90–110% acceptance window.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no critical issue remains open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Research lead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Reconciles the $72,000 milestone budget and evidence package.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Issue go / conditional / hold recommendation</w:t>
            </w:r>
          </w:p>
        </w:tc>
      </w:tr>
    </w:tbl>
    <w:p>
      <w:pPr>
        <w:spacing w:after="0"/>
      </w:pPr>
    </w:p>
    <w:p>
      <w:pPr>
        <w:pStyle w:val="Heading2"/>
        <w:spacing w:before="100" w:after="40"/>
      </w:pPr>
      <w:r>
        <w:t>Dissemination deliverables</w:t>
      </w:r>
    </w:p>
    <w:p>
      <w:pPr>
        <w:pStyle w:val="ListBullet"/>
        <w:spacing w:after="40"/>
      </w:pPr>
      <w:r>
        <w:t>Internal review PDF documenting evidence disposition and required actions.</w:t>
      </w:r>
    </w:p>
    <w:p>
      <w:pPr>
        <w:pStyle w:val="ListBullet"/>
        <w:spacing w:after="40"/>
      </w:pPr>
      <w:r>
        <w:t>Formula-driven milestone and budget model, plus the 16-week workplan figure.</w:t>
      </w:r>
    </w:p>
    <w:p>
      <w:pPr>
        <w:pStyle w:val="ListBullet"/>
        <w:spacing w:after="40"/>
      </w:pPr>
      <w:r>
        <w:t>Final closeout criterion: complete traceability, CV ≤10%, recovery 90–110%, and no unclosed critical quality issue.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Internal grant planning • Fictional research corpus •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B6770"/>
        <w:sz w:val="16"/>
      </w:rPr>
      <w:t>ORCHID CELLWORKS  /  STUDY ALPHA A-24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8154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