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Specific Aims: Study Alpha A-24</w:t>
      </w:r>
    </w:p>
    <w:p>
      <w:pPr>
        <w:jc w:val="center"/>
      </w:pPr>
      <w:r>
        <w:rPr>
          <w:i/>
          <w:color w:val="5B6770"/>
          <w:sz w:val="22"/>
        </w:rPr>
        <w:t>A criterion-driven translational assay verification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Organization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Orchid Cellworks</w:t>
            </w:r>
          </w:p>
        </w:tc>
      </w:tr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OCW-BIO-017</w:t>
            </w:r>
          </w:p>
        </w:tc>
      </w:tr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Run context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ALPHA-A24-R03 baseline: median 6.8 ng/mL</w:t>
            </w:r>
          </w:p>
        </w:tc>
      </w:tr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Study population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24 synthetic coded records: OCW-A24-001…OCW-A24-024</w:t>
            </w:r>
          </w:p>
        </w:tc>
      </w:tr>
    </w:tbl>
    <w:p/>
    <w:p>
      <w:pPr>
        <w:pStyle w:val="Heading1"/>
      </w:pPr>
      <w:r>
        <w:t>Overall objective</w:t>
      </w:r>
    </w:p>
    <w:p>
      <w:r>
        <w:t>The objective is to establish whether the Study Alpha workflow can generate a reproducible, well-documented synthetic assay evidence package under a fixed protocol and predeclared acceptance criteria. The central premise is that traceability plus quantitative QC gates will make the internal decision process auditable and efficient.</w:t>
      </w:r>
    </w:p>
    <w:p>
      <w:pPr>
        <w:pStyle w:val="Heading1"/>
      </w:pPr>
      <w:r>
        <w:t>Aim 1 — Establish analytical repeatability</w:t>
      </w:r>
    </w:p>
    <w:p>
      <w:r>
        <w:t>Execute three verification runs using the locked workflow and compare duplicate measurements within each coded record. Success is defined as duplicate CV ≤10% across the planned assessment set and a complete run-level audit trail.</w:t>
      </w:r>
    </w:p>
    <w:p>
      <w:pPr>
        <w:pStyle w:val="Heading1"/>
      </w:pPr>
      <w:r>
        <w:t>Aim 2 — Demonstrate recovery control</w:t>
      </w:r>
    </w:p>
    <w:p>
      <w:r>
        <w:t>Assess recovery against the predefined 90–110% window while documenting any exception, rerun rationale, and corrective action. Success is a closed quality record with no unresolved critical deviation.</w:t>
      </w:r>
    </w:p>
    <w:p>
      <w:pPr>
        <w:pStyle w:val="Heading1"/>
      </w:pPr>
      <w:r>
        <w:t>Aim 3 — Produce a decision-ready evidence package</w:t>
      </w:r>
    </w:p>
    <w:p>
      <w:r>
        <w:t>Integrate the verification outputs into a concise strategy report, milestone/budget model, workplan figure, and internal review record. Success is a time-bounded recommendation tied directly to the acceptance matrix, not an inference about clinical performance.</w:t>
      </w:r>
    </w:p>
    <w:p>
      <w:pPr>
        <w:pStyle w:val="Heading1"/>
      </w:pPr>
      <w:r>
        <w:t>Expected impact</w:t>
      </w:r>
    </w:p>
    <w:p>
      <w:r>
        <w:t>The project will yield a disciplined, reusable method for moving a synthetic assay signal from exploratory observation to a transparent internal decision. The approach is intentionally bounded: it supports analytical readiness planning and does not use real subjects, samples, or external data.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Aim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Readout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Duplicate precision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CV ≤10%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90–110%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package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Internal review acceptance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Internal grant planning • Fictional research corpus •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B6770"/>
        <w:sz w:val="16"/>
      </w:rPr>
      <w:t>ORCHID CELLWORKS  /  STUDY ALPHA A-24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8154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