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4E78"/>
          <w:sz w:val="44"/>
        </w:rPr>
        <w:t>Assay sample preparation SOP</w:t>
      </w:r>
    </w:p>
    <w:p>
      <w:r>
        <w:rPr>
          <w:i/>
          <w:color w:val="595959"/>
        </w:rPr>
        <w:t>Orchid Cellworks | Study Alpha | 2026-07-13 | cohort A-24 | assay 6.8 ng/mL</w:t>
      </w:r>
    </w:p>
    <w:p>
      <w:pPr>
        <w:pStyle w:val="Heading1"/>
      </w:pPr>
      <w:r>
        <w:t>Scope</w:t>
      </w:r>
    </w:p>
    <w:p>
      <w:r>
        <w:t>Preparation guidance for fully synthetic Study Alpha practice aliquots.</w:t>
      </w:r>
    </w:p>
    <w:p>
      <w:pPr>
        <w:pStyle w:val="Heading1"/>
      </w:pPr>
      <w:r>
        <w:t>Preparation sequence</w:t>
      </w:r>
    </w:p>
    <w:p>
      <w:pPr>
        <w:pStyle w:val="ListBullet"/>
      </w:pPr>
      <w:r>
        <w:t>Confirm synthetic lot and plate map.</w:t>
      </w:r>
    </w:p>
    <w:p>
      <w:pPr>
        <w:pStyle w:val="ListBullet"/>
      </w:pPr>
      <w:r>
        <w:t>Pipette using the calibrated PipetSure P200.</w:t>
      </w:r>
    </w:p>
    <w:p>
      <w:pPr>
        <w:pStyle w:val="ListBullet"/>
      </w:pPr>
      <w:r>
        <w:t>Mix gently, seal plate, and record a controlled training observation.</w:t>
      </w:r>
    </w:p>
    <w:p>
      <w:pPr>
        <w:pStyle w:val="Heading1"/>
      </w:pPr>
      <w:r>
        <w:t>Checks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Checkpoint</w:t>
            </w:r>
          </w:p>
        </w:tc>
        <w:tc>
          <w:tcPr>
            <w:tcW w:type="dxa" w:w="4680"/>
          </w:tcPr>
          <w:p>
            <w:r>
              <w:t>Expected state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Label</w:t>
            </w:r>
          </w:p>
        </w:tc>
        <w:tc>
          <w:tcPr>
            <w:tcW w:type="dxa" w:w="4680"/>
            <w:vAlign w:val="center"/>
          </w:tcPr>
          <w:p>
            <w:r>
              <w:t>Synthetic cohort label present</w:t>
            </w:r>
          </w:p>
        </w:tc>
      </w:tr>
      <w:tr>
        <w:tc>
          <w:tcPr>
            <w:tcW w:type="dxa" w:w="4680"/>
            <w:vAlign w:val="center"/>
          </w:tcPr>
          <w:p>
            <w:r>
              <w:t>Volume</w:t>
            </w:r>
          </w:p>
        </w:tc>
        <w:tc>
          <w:tcPr>
            <w:tcW w:type="dxa" w:w="4680"/>
            <w:vAlign w:val="center"/>
          </w:tcPr>
          <w:p>
            <w:r>
              <w:t>Within protocol target</w:t>
            </w:r>
          </w:p>
        </w:tc>
      </w:tr>
      <w:tr>
        <w:tc>
          <w:tcPr>
            <w:tcW w:type="dxa" w:w="4680"/>
            <w:vAlign w:val="center"/>
          </w:tcPr>
          <w:p>
            <w:r>
              <w:t>Traceability</w:t>
            </w:r>
          </w:p>
        </w:tc>
        <w:tc>
          <w:tcPr>
            <w:tcW w:type="dxa" w:w="4680"/>
            <w:vAlign w:val="center"/>
          </w:tcPr>
          <w:p>
            <w:r>
              <w:t>OCW-BIO-017 recorded</w:t>
            </w:r>
          </w:p>
        </w:tc>
      </w:tr>
    </w:tbl>
    <w:p>
      <w:r>
        <w:t>Synthetic training document. No patient, participant, personnel, or production laboratory data are included.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