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34213D"/>
          <w:sz w:val="48"/>
        </w:rPr>
        <w:t>LITERATURE REVIEW SYNTHESIS</w:t>
      </w:r>
    </w:p>
    <w:p>
      <w:pPr>
        <w:spacing w:after="320"/>
      </w:pPr>
      <w:r>
        <w:rPr>
          <w:i/>
        </w:rPr>
        <w:t>A synthetic evidence packet for method-focused review</w:t>
      </w:r>
    </w:p>
    <w:tbl>
      <w:tblPr>
        <w:tblW w:type="auto" w:w="0"/>
        <w:jc w:val="left"/>
        <w:tblLayout w:type="fixed"/>
        <w:tblLook w:firstColumn="1" w:firstRow="1" w:lastColumn="0" w:lastRow="0" w:noHBand="0" w:noVBand="1" w:val="04A0"/>
      </w:tblPr>
      <w:tblGrid>
        <w:gridCol w:w="4680"/>
        <w:gridCol w:w="4680"/>
      </w:tblGrid>
      <w:tr>
        <w:tc>
          <w:tcPr>
            <w:tcW w:type="dxa" w:w="2232"/>
            <w:vAlign w:val="center"/>
            <w:shd w:fill="FFFFFF"/>
          </w:tcPr>
          <w:p>
            <w:r>
              <w:rPr>
                <w:b/>
              </w:rPr>
              <w:t>Organization</w:t>
            </w:r>
          </w:p>
        </w:tc>
        <w:tc>
          <w:tcPr>
            <w:tcW w:type="dxa" w:w="7128"/>
            <w:vAlign w:val="center"/>
            <w:shd w:fill="FFFFFF"/>
          </w:tcPr>
          <w:p>
            <w:r>
              <w:t>Orchid Cellworks</w:t>
            </w:r>
          </w:p>
        </w:tc>
      </w:tr>
      <w:tr>
        <w:tc>
          <w:tcPr>
            <w:tcW w:type="dxa" w:w="2232"/>
            <w:vAlign w:val="center"/>
            <w:shd w:fill="FFFFFF"/>
          </w:tcPr>
          <w:p>
            <w:r>
              <w:rPr>
                <w:b/>
              </w:rPr>
              <w:t>Reference frame</w:t>
            </w:r>
          </w:p>
        </w:tc>
        <w:tc>
          <w:tcPr>
            <w:tcW w:type="dxa" w:w="7128"/>
            <w:vAlign w:val="center"/>
            <w:shd w:fill="FFFFFF"/>
          </w:tcPr>
          <w:p>
            <w:r>
              <w:t>Study Alpha | 2026-07-13 | cohort A-24 | assay 6.8 ng/mL</w:t>
            </w:r>
          </w:p>
        </w:tc>
      </w:tr>
    </w:tbl>
    <w:p>
      <w:pPr>
        <w:pStyle w:val="Heading1"/>
      </w:pPr>
      <w:r>
        <w:t>Purpose and boundary</w:t>
      </w:r>
    </w:p>
    <w:p>
      <w:r>
        <w:t>This original synthesis compiles fictional methods-focused reviews for a laboratory planning packet. It is not a literature review of real publications, does not cite external sources, and contains no patient, participant, specimen, or production research data. The evidence map is designed to keep planning decisions visible while maintaining strict interpretation boundaries.</w:t>
      </w:r>
    </w:p>
    <w:p>
      <w:pPr>
        <w:pStyle w:val="Heading1"/>
      </w:pPr>
      <w:r>
        <w:t>What the packet supports</w:t>
      </w:r>
    </w:p>
    <w:p>
      <w:r>
        <w:t>The packet supports a narrow operational question: whether the planned workflow has clear controls, traceable instrument context, and a documented review path. It does not support biological, clinical, or commercial conclusions.</w:t>
      </w:r>
    </w:p>
    <w:p>
      <w:pPr>
        <w:pStyle w:val="Heading1"/>
      </w:pPr>
      <w:r>
        <w:t>Method themes</w:t>
      </w:r>
    </w:p>
    <w:p>
      <w:pPr>
        <w:pStyle w:val="Heading2"/>
      </w:pPr>
      <w:r>
        <w:t>Assay method framing</w:t>
      </w:r>
    </w:p>
    <w:p>
      <w:r>
        <w:t>The method review makes the planned input, duplicate logic, blank behavior, and review owner explicit.</w:t>
      </w:r>
    </w:p>
    <w:p>
      <w:pPr>
        <w:pStyle w:val="Heading2"/>
      </w:pPr>
      <w:r>
        <w:t>Validation discipline</w:t>
      </w:r>
    </w:p>
    <w:p>
      <w:r>
        <w:t>The validation review treats precision, recovery, and blank response as separate checks rather than a single score.</w:t>
      </w:r>
    </w:p>
    <w:p>
      <w:pPr>
        <w:pStyle w:val="Heading2"/>
      </w:pPr>
      <w:r>
        <w:t>Instrument context</w:t>
      </w:r>
    </w:p>
    <w:p>
      <w:r>
        <w:t>The linearity note distinguishes a plate-reader check from a claim about the assay itself.</w:t>
      </w:r>
    </w:p>
    <w:p>
      <w:pPr>
        <w:pStyle w:val="Heading2"/>
      </w:pPr>
      <w:r>
        <w:t>Reproducibility practice</w:t>
      </w:r>
    </w:p>
    <w:p>
      <w:r>
        <w:t>The reproducibility review retains version context and short exception notes so a future reviewer can understand scope.</w:t>
      </w:r>
    </w:p>
    <w:p>
      <w:r>
        <w:br w:type="page"/>
      </w:r>
    </w:p>
    <w:p>
      <w:pPr>
        <w:pStyle w:val="Heading1"/>
      </w:pPr>
      <w:r>
        <w:t>Evidence-to-decision synthesis</w:t>
      </w:r>
    </w:p>
    <w:p>
      <w:r>
        <w:t>A usable evidence packet should answer three questions in order: what was intended, what was observed in the synthetic workflow, and what review action follows. This sequence prevents a visually tidy result from being mistaken for a complete conclusion.</w:t>
      </w:r>
    </w:p>
    <w:tbl>
      <w:tblPr>
        <w:tblStyle w:val="TableGrid"/>
        <w:tblW w:type="auto" w:w="0"/>
        <w:jc w:val="left"/>
        <w:tblLook w:firstColumn="1" w:firstRow="1" w:lastColumn="0" w:lastRow="0" w:noHBand="0" w:noVBand="1" w:val="04A0"/>
      </w:tblPr>
      <w:tblGrid>
        <w:gridCol w:w="3120"/>
        <w:gridCol w:w="3120"/>
        <w:gridCol w:w="3120"/>
      </w:tblGrid>
      <w:tr>
        <w:tc>
          <w:tcPr>
            <w:tcW w:type="dxa" w:w="3120"/>
          </w:tcPr>
          <w:p>
            <w:r>
              <w:rPr>
                <w:b/>
              </w:rPr>
              <w:t>Evidence node</w:t>
            </w:r>
          </w:p>
        </w:tc>
        <w:tc>
          <w:tcPr>
            <w:tcW w:type="dxa" w:w="3120"/>
          </w:tcPr>
          <w:p>
            <w:r>
              <w:rPr>
                <w:b/>
              </w:rPr>
              <w:t>Retained record</w:t>
            </w:r>
          </w:p>
        </w:tc>
        <w:tc>
          <w:tcPr>
            <w:tcW w:type="dxa" w:w="3120"/>
          </w:tcPr>
          <w:p>
            <w:r>
              <w:rPr>
                <w:b/>
              </w:rPr>
              <w:t>Decision use</w:t>
            </w:r>
          </w:p>
        </w:tc>
      </w:tr>
      <w:tr>
        <w:tc>
          <w:tcPr>
            <w:tcW w:type="dxa" w:w="3120"/>
          </w:tcPr>
          <w:p>
            <w:r>
              <w:t>Protocol intent</w:t>
            </w:r>
          </w:p>
        </w:tc>
        <w:tc>
          <w:tcPr>
            <w:tcW w:type="dxa" w:w="3120"/>
          </w:tcPr>
          <w:p>
            <w:r>
              <w:t>Scope statement and run context</w:t>
            </w:r>
          </w:p>
        </w:tc>
        <w:tc>
          <w:tcPr>
            <w:tcW w:type="dxa" w:w="3120"/>
          </w:tcPr>
          <w:p>
            <w:r>
              <w:t>Confirm question before inspecting export</w:t>
            </w:r>
          </w:p>
        </w:tc>
      </w:tr>
      <w:tr>
        <w:tc>
          <w:tcPr>
            <w:tcW w:type="dxa" w:w="3120"/>
          </w:tcPr>
          <w:p>
            <w:r>
              <w:t>Control behavior</w:t>
            </w:r>
          </w:p>
        </w:tc>
        <w:tc>
          <w:tcPr>
            <w:tcW w:type="dxa" w:w="3120"/>
          </w:tcPr>
          <w:p>
            <w:r>
              <w:t>Blank and duplicate summary</w:t>
            </w:r>
          </w:p>
        </w:tc>
        <w:tc>
          <w:tcPr>
            <w:tcW w:type="dxa" w:w="3120"/>
          </w:tcPr>
          <w:p>
            <w:r>
              <w:t>Decide whether the process is reviewable</w:t>
            </w:r>
          </w:p>
        </w:tc>
      </w:tr>
      <w:tr>
        <w:tc>
          <w:tcPr>
            <w:tcW w:type="dxa" w:w="3120"/>
          </w:tcPr>
          <w:p>
            <w:r>
              <w:t>Instrument context</w:t>
            </w:r>
          </w:p>
        </w:tc>
        <w:tc>
          <w:tcPr>
            <w:tcW w:type="dxa" w:w="3120"/>
          </w:tcPr>
          <w:p>
            <w:r>
              <w:t>Linearity and calibration note</w:t>
            </w:r>
          </w:p>
        </w:tc>
        <w:tc>
          <w:tcPr>
            <w:tcW w:type="dxa" w:w="3120"/>
          </w:tcPr>
          <w:p>
            <w:r>
              <w:t>Separate readout behavior from broader claim</w:t>
            </w:r>
          </w:p>
        </w:tc>
      </w:tr>
      <w:tr>
        <w:tc>
          <w:tcPr>
            <w:tcW w:type="dxa" w:w="3120"/>
          </w:tcPr>
          <w:p>
            <w:r>
              <w:t>Exception trace</w:t>
            </w:r>
          </w:p>
        </w:tc>
        <w:tc>
          <w:tcPr>
            <w:tcW w:type="dxa" w:w="3120"/>
          </w:tcPr>
          <w:p>
            <w:r>
              <w:t>Named rationale and owner</w:t>
            </w:r>
          </w:p>
        </w:tc>
        <w:tc>
          <w:tcPr>
            <w:tcW w:type="dxa" w:w="3120"/>
          </w:tcPr>
          <w:p>
            <w:r>
              <w:t>Record next review action</w:t>
            </w:r>
          </w:p>
        </w:tc>
      </w:tr>
    </w:tbl>
    <w:p>
      <w:pPr>
        <w:pStyle w:val="Heading1"/>
      </w:pPr>
      <w:r>
        <w:t>Recommended review conversation</w:t>
      </w:r>
    </w:p>
    <w:p>
      <w:r>
        <w:t>Start with the central claim in the evidence map, then read the synthetic screening note. Ask whether each retained item supplies a method question, an operational control, and an interpretation boundary. If one element is missing, record the gap instead of filling it with assumption.</w:t>
      </w:r>
    </w:p>
    <w:p>
      <w:pPr>
        <w:pStyle w:val="Heading1"/>
      </w:pPr>
      <w:r>
        <w:t>Cross-references</w:t>
      </w:r>
    </w:p>
    <w:p>
      <w:r>
        <w:t>The companion Markdown notes provide a concise screening trail and evidence map. The five PDFs expand each method theme; the image-only scan is a deliberately non-searchable visual specimen for scan classification testing. The PNG gives a text-light visual map of the same relationships.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synthetic methods packet | 2026-07-13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ORCHID CELLWORKS | SYNTHETIC LITERATURE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