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start"/>
        <w:rPr/>
      </w:pPr>
      <w:r>
        <w:rPr/>
        <w:t>Study Alpha Lab Meeting Minutes</w:t>
      </w:r>
    </w:p>
    <w:p>
      <w:pPr>
        <w:pStyle w:val="BodyText"/>
        <w:bidi w:val="0"/>
        <w:spacing w:before="40" w:after="100"/>
        <w:ind w:hanging="0" w:start="0" w:end="0"/>
        <w:jc w:val="start"/>
        <w:rPr>
          <w:color w:val="536878"/>
          <w:sz w:val="16"/>
        </w:rPr>
      </w:pPr>
      <w:r>
        <w:rPr>
          <w:color w:val="536878"/>
          <w:sz w:val="16"/>
        </w:rPr>
        <w:t>Orchid Cellworks | Monday, July 13, 2026 | Windows lab workstation | Synthetic research workspace</w:t>
      </w:r>
    </w:p>
    <w:p>
      <w:pPr>
        <w:pStyle w:val="BodyText"/>
        <w:bidi w:val="0"/>
        <w:spacing w:before="100" w:after="100"/>
        <w:ind w:hanging="0" w:start="100" w:end="100"/>
        <w:jc w:val="start"/>
        <w:rPr>
          <w:color w:val="1F4E79"/>
        </w:rPr>
      </w:pPr>
      <w:r>
        <w:rPr>
          <w:color w:val="1F4E79"/>
        </w:rPr>
        <w:t>Meeting outcome. The A-24 synthetic review is ready for methods documentation: median assay result 6.8 ng/mL, duplicate CV within 10%, and recovery within the 90-110% acceptance band. No clinical or live laboratory data were discussed.</w:t>
      </w:r>
    </w:p>
    <w:p>
      <w:pPr>
        <w:pStyle w:val="Heading2"/>
        <w:bidi w:val="0"/>
        <w:jc w:val="start"/>
        <w:rPr/>
      </w:pPr>
      <w:r>
        <w:rPr/>
        <w:t>Purpose and scope</w:t>
      </w:r>
    </w:p>
    <w:p>
      <w:pPr>
        <w:pStyle w:val="BodyText"/>
        <w:bidi w:val="0"/>
        <w:jc w:val="start"/>
        <w:rPr/>
      </w:pPr>
      <w:r>
        <w:rPr/>
        <w:t xml:space="preserve">Review the Study Alpha A-24 synthetic assay package, confirm traceability to protocol </w:t>
      </w:r>
      <w:r>
        <w:rPr>
          <w:b/>
        </w:rPr>
        <w:t>OCW-BIO-017</w:t>
      </w:r>
      <w:r>
        <w:rPr/>
        <w:t xml:space="preserve"> and run record </w:t>
      </w:r>
      <w:r>
        <w:rPr>
          <w:b/>
        </w:rPr>
        <w:t>ALPHA-A24-R03</w:t>
      </w:r>
      <w:r>
        <w:rPr/>
        <w:t>, and agree the next documentation steps. The cohort consists of fictional identifiers OCW-A24-001 through OCW-A24-024.</w:t>
      </w:r>
    </w:p>
    <w:p>
      <w:pPr>
        <w:pStyle w:val="Heading2"/>
        <w:bidi w:val="0"/>
        <w:jc w:val="start"/>
        <w:rPr/>
      </w:pPr>
      <w:r>
        <w:rPr/>
        <w:t>Discussion record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53"/>
        <w:gridCol w:w="9886"/>
      </w:tblGrid>
      <w:tr>
        <w:trPr/>
        <w:tc>
          <w:tcPr>
            <w:tcW w:w="1453" w:type="dxa"/>
            <w:tcBorders/>
            <w:vAlign w:val="center"/>
          </w:tcPr>
          <w:p>
            <w:pPr>
              <w:pStyle w:val="TableHeading"/>
              <w:bidi w:val="0"/>
              <w:spacing w:before="40" w:after="40"/>
              <w:ind w:hanging="0" w:start="0" w:end="0"/>
              <w:jc w:val="start"/>
              <w:rPr/>
            </w:pPr>
            <w:r>
              <w:rPr/>
              <w:t>Topic</w:t>
            </w:r>
          </w:p>
        </w:tc>
        <w:tc>
          <w:tcPr>
            <w:tcW w:w="9886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40" w:after="40"/>
              <w:jc w:val="start"/>
              <w:rPr/>
            </w:pPr>
            <w:r>
              <w:rPr/>
              <w:t>Discussion and decision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Assay summary</w:t>
            </w:r>
          </w:p>
        </w:tc>
        <w:tc>
          <w:tcPr>
            <w:tcW w:w="9886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 xml:space="preserve">Median assay result was </w:t>
            </w:r>
            <w:r>
              <w:rPr>
                <w:b/>
              </w:rPr>
              <w:t>6.8 ng/mL</w:t>
            </w:r>
            <w:r>
              <w:rPr/>
              <w:t>. The group agreed this is the reference value to carry into the synthetic methods package.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Precision review</w:t>
            </w:r>
          </w:p>
        </w:tc>
        <w:tc>
          <w:tcPr>
            <w:tcW w:w="9886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Duplicate CV remains at or below the pre-specified 10% threshold. The review record will state the criterion rather than infer any real-world performance.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Recovery check</w:t>
            </w:r>
          </w:p>
        </w:tc>
        <w:tc>
          <w:tcPr>
            <w:tcW w:w="9886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Synthetic recovery values are contained within the 90-110% acceptance range. No exceptions were raised for the A-24 review set.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Comparator context</w:t>
            </w:r>
          </w:p>
        </w:tc>
        <w:tc>
          <w:tcPr>
            <w:tcW w:w="9886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Study Beta B-16 remains a contextual comparator only: normalized baseline 1.00 and treated value 1.18. It does not alter the Alpha release note.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Decisions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49" w:leader="none"/>
        </w:tabs>
        <w:bidi w:val="0"/>
        <w:spacing w:before="40" w:after="0"/>
        <w:ind w:hanging="283" w:start="749"/>
        <w:jc w:val="start"/>
        <w:rPr/>
      </w:pPr>
      <w:r>
        <w:rPr/>
        <w:t>Record the A-24 summary against ALPHA-A24-R03 and retain OCW-BIO-017 as the method reference.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49" w:leader="none"/>
        </w:tabs>
        <w:bidi w:val="0"/>
        <w:spacing w:before="40" w:after="0"/>
        <w:ind w:hanging="283" w:start="749"/>
        <w:jc w:val="start"/>
        <w:rPr/>
      </w:pPr>
      <w:r>
        <w:rPr/>
        <w:t>Package the result as a fictional training and review artifact; do not represent it as a clinical, production, or release decision.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49" w:leader="none"/>
        </w:tabs>
        <w:bidi w:val="0"/>
        <w:ind w:hanging="283" w:start="749"/>
        <w:jc w:val="start"/>
        <w:rPr/>
      </w:pPr>
      <w:r>
        <w:rPr/>
        <w:t>Use the shared action register for follow-up owners and due dates.</w:t>
      </w:r>
    </w:p>
    <w:p>
      <w:pPr>
        <w:pStyle w:val="Heading2"/>
        <w:bidi w:val="0"/>
        <w:jc w:val="start"/>
        <w:rPr/>
      </w:pPr>
      <w:r>
        <w:rPr/>
        <w:t>Action summary</w:t>
      </w:r>
    </w:p>
    <w:tbl>
      <w:tblPr>
        <w:tblW w:w="86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0"/>
        <w:gridCol w:w="6135"/>
        <w:gridCol w:w="954"/>
      </w:tblGrid>
      <w:tr>
        <w:trPr/>
        <w:tc>
          <w:tcPr>
            <w:tcW w:w="1560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40" w:after="40"/>
              <w:jc w:val="start"/>
              <w:rPr/>
            </w:pPr>
            <w:r>
              <w:rPr/>
              <w:t>Owner</w:t>
            </w:r>
          </w:p>
        </w:tc>
        <w:tc>
          <w:tcPr>
            <w:tcW w:w="6135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40" w:after="40"/>
              <w:jc w:val="start"/>
              <w:rPr/>
            </w:pPr>
            <w:r>
              <w:rPr/>
              <w:t>Action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40" w:after="40"/>
              <w:jc w:val="start"/>
              <w:rPr/>
            </w:pPr>
            <w:r>
              <w:rPr/>
              <w:t>Due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Methods Lead</w:t>
            </w:r>
          </w:p>
        </w:tc>
        <w:tc>
          <w:tcPr>
            <w:tcW w:w="6135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Append the 6.8 ng/mL reference and acceptance criteria to the synthetic methods readout.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2026-07-15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Data Steward</w:t>
            </w:r>
          </w:p>
        </w:tc>
        <w:tc>
          <w:tcPr>
            <w:tcW w:w="6135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Check the OCW-A24-001..024 identifier range and archive the review index.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2026-07-16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Program Coordinator</w:t>
            </w:r>
          </w:p>
        </w:tc>
        <w:tc>
          <w:tcPr>
            <w:tcW w:w="6135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Prepare the Alpha/Beta context note for the next program review.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start"/>
              <w:rPr/>
            </w:pPr>
            <w:r>
              <w:rPr/>
              <w:t>2026-07-17</w:t>
            </w:r>
          </w:p>
        </w:tc>
      </w:tr>
    </w:tbl>
    <w:p>
      <w:pPr>
        <w:pStyle w:val="BodyText"/>
        <w:bidi w:val="0"/>
        <w:spacing w:before="40" w:after="0"/>
        <w:jc w:val="start"/>
        <w:rPr/>
      </w:pPr>
      <w:r>
        <w:rPr/>
        <w:t>Internal fictional training artifact | Orchid Cellworks | Prepared 2026-07-13 | No PHI, PII, credentials, or real study data</w:t>
      </w:r>
    </w:p>
    <w:sectPr>
      <w:type w:val="nextPage"/>
      <w:pgSz w:w="11906" w:h="16838"/>
      <w:pgMar w:left="792" w:right="792" w:gutter="0" w:header="0" w:top="605" w:footer="0" w:bottom="605"/>
      <w:pgNumType w:fmt="decimal"/>
      <w:formProt w:val="false"/>
      <w:textDirection w:val="lrTb"/>
      <w:docGrid w:type="default" w:linePitch="600" w:charSpace="47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游明朝体" w:cs="Arial Unicode M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4"/>
    </w:pPr>
    <w:rPr>
      <w:rFonts w:ascii="Arial;sans-serif" w:hAnsi="Arial;sans-serif" w:eastAsia="Arial;sans-serif" w:cs="Arial;sans-serif"/>
      <w:color w:val="17212B"/>
      <w:sz w:val="17"/>
      <w:szCs w:val="17"/>
      <w:lang w:val="en-US" w:eastAsia="ja-JP" w:bidi="hi-IN"/>
    </w:rPr>
  </w:style>
  <w:style w:type="paragraph" w:styleId="Heading1">
    <w:name w:val="heading 1"/>
    <w:basedOn w:val="Heading"/>
    <w:next w:val="BodyText"/>
    <w:qFormat/>
    <w:pPr>
      <w:spacing w:before="240" w:after="40"/>
    </w:pPr>
    <w:rPr>
      <w:b/>
      <w:bCs/>
      <w:color w:val="1F4E79"/>
      <w:sz w:val="36"/>
      <w:szCs w:val="36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A9C3D8"/>
      </w:pBdr>
      <w:spacing w:before="160" w:after="60"/>
      <w:ind w:start="160" w:end="160"/>
      <w:outlineLvl w:val="1"/>
    </w:pPr>
    <w:rPr>
      <w:rFonts w:ascii="Liberation Serif" w:hAnsi="Liberation Serif" w:eastAsia="游明朝体" w:cs="Arial Unicode MS"/>
      <w:b/>
      <w:bCs/>
      <w:color w:val="1F4E79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5"/>
      <w:szCs w:val="15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40" w:after="40"/>
      <w:ind w:start="40" w:end="4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4E79" w:val="clear"/>
      <w:jc w:val="start"/>
    </w:pPr>
    <w:rPr>
      <w:b/>
      <w:bCs/>
      <w:color w:val="FFFFFF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