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5C"/>
          <w:sz w:val="48"/>
        </w:rPr>
        <w:t>Study Alpha cohort A-24 Analysis Plan</w:t>
      </w:r>
    </w:p>
    <w:p>
      <w:pPr>
        <w:jc w:val="center"/>
      </w:pPr>
      <w:r>
        <w:rPr>
          <w:i/>
        </w:rPr>
        <w:t>Orchid Cellworks | Study Alpha | 2026-07-13 | cohort A-24 | assay 6.8 ng/mL</w:t>
      </w:r>
    </w:p>
    <w:p>
      <w:pPr>
        <w:pStyle w:val="Heading1"/>
      </w:pPr>
      <w:r>
        <w:t>Purpose</w:t>
      </w:r>
    </w:p>
    <w:p>
      <w:r>
        <w:t>This plan defines the synthetic analysis for Study Alpha, cohort A-24. It assesses an assay target centered on 6.8 ng/mL using fully fabricated records from protocol run ALPHA-A24-R03.</w:t>
      </w:r>
    </w:p>
    <w:p>
      <w:pPr>
        <w:pStyle w:val="Heading1"/>
      </w:pPr>
      <w:r>
        <w:t>Analysis sequence</w:t>
      </w:r>
    </w:p>
    <w:p>
      <w:r>
        <w:t>1. Confirm row-level identifiers are synthetic and unique. 2. Calculate median, range, duplicate CV, and recovery. 3. Review model diagnostics. 4. Record a reproducible decision.</w:t>
      </w:r>
    </w:p>
    <w:p>
      <w:pPr>
        <w:pStyle w:val="Heading1"/>
      </w:pPr>
      <w:r>
        <w:t>Quality thresholds</w:t>
      </w:r>
    </w:p>
    <w:p>
      <w:r>
        <w:t>Accept the analytical set when duplicate CV is no more than 10%, recovery is 90–110%, and required values are present. The synthetic reference value is assay 6.8 ng/mL.</w:t>
      </w:r>
    </w:p>
    <w:p>
      <w:pPr>
        <w:pStyle w:val="Heading1"/>
      </w:pPr>
      <w:r>
        <w:t>Governance</w:t>
      </w:r>
    </w:p>
    <w:p>
      <w:r>
        <w:t>Orchid Cellworks uses this fictional document solely for corpus simulation. No participant, patient, clinical, credential, or proprietary data are represented.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Check</w:t>
            </w:r>
          </w:p>
        </w:tc>
        <w:tc>
          <w:tcPr>
            <w:tcW w:type="dxa" w:w="3120"/>
          </w:tcPr>
          <w:p>
            <w:r>
              <w:t>Owner</w:t>
            </w:r>
          </w:p>
        </w:tc>
        <w:tc>
          <w:tcPr>
            <w:tcW w:type="dxa" w:w="3120"/>
          </w:tcPr>
          <w:p>
            <w:r>
              <w:t>Evidence</w:t>
            </w:r>
          </w:p>
        </w:tc>
      </w:tr>
      <w:tr>
        <w:tc>
          <w:tcPr>
            <w:tcW w:type="dxa" w:w="3120"/>
          </w:tcPr>
          <w:p>
            <w:r>
              <w:t>Identity uniqueness</w:t>
            </w:r>
          </w:p>
        </w:tc>
        <w:tc>
          <w:tcPr>
            <w:tcW w:type="dxa" w:w="3120"/>
          </w:tcPr>
          <w:p>
            <w:r>
              <w:t>Analyst</w:t>
            </w:r>
          </w:p>
        </w:tc>
        <w:tc>
          <w:tcPr>
            <w:tcW w:type="dxa" w:w="3120"/>
          </w:tcPr>
          <w:p>
            <w:r>
              <w:t>24 synthetic OCW-A24 IDs</w:t>
            </w:r>
          </w:p>
        </w:tc>
      </w:tr>
      <w:tr>
        <w:tc>
          <w:tcPr>
            <w:tcW w:type="dxa" w:w="3120"/>
          </w:tcPr>
          <w:p>
            <w:r>
              <w:t>Central tendency</w:t>
            </w:r>
          </w:p>
        </w:tc>
        <w:tc>
          <w:tcPr>
            <w:tcW w:type="dxa" w:w="3120"/>
          </w:tcPr>
          <w:p>
            <w:r>
              <w:t>Analyst</w:t>
            </w:r>
          </w:p>
        </w:tc>
        <w:tc>
          <w:tcPr>
            <w:tcW w:type="dxa" w:w="3120"/>
          </w:tcPr>
          <w:p>
            <w:r>
              <w:t>Median 6.8 ng/mL</w:t>
            </w:r>
          </w:p>
        </w:tc>
      </w:tr>
      <w:tr>
        <w:tc>
          <w:tcPr>
            <w:tcW w:type="dxa" w:w="3120"/>
          </w:tcPr>
          <w:p>
            <w:r>
              <w:t>Reproducibility</w:t>
            </w:r>
          </w:p>
        </w:tc>
        <w:tc>
          <w:tcPr>
            <w:tcW w:type="dxa" w:w="3120"/>
          </w:tcPr>
          <w:p>
            <w:r>
              <w:t>Reviewer</w:t>
            </w:r>
          </w:p>
        </w:tc>
        <w:tc>
          <w:tcPr>
            <w:tcW w:type="dxa" w:w="3120"/>
          </w:tcPr>
          <w:p>
            <w:r>
              <w:t>Versioned notebook outputs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Orchid Cellworks | Synthetic analysis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