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9A7427"/>
          <w:sz w:val="18"/>
        </w:rPr>
        <w:t>SYNTHETIC DISSERTATION APPENDIX</w:t>
      </w:r>
    </w:p>
    <w:p>
      <w:pPr>
        <w:jc w:val="center"/>
      </w:pPr>
      <w:r>
        <w:rPr>
          <w:rFonts w:ascii="Aptos" w:hAnsi="Aptos"/>
          <w:b/>
          <w:color w:val="17324D"/>
          <w:sz w:val="44"/>
        </w:rPr>
        <w:t>Appendix D: Editorial Conventions</w:t>
      </w:r>
    </w:p>
    <w:p>
      <w:pPr>
        <w:jc w:val="center"/>
      </w:pPr>
      <w:r>
        <w:rPr>
          <w:rFonts w:ascii="Aptos" w:hAnsi="Aptos"/>
          <w:b w:val="0"/>
          <w:color w:val="52616B"/>
          <w:sz w:val="18"/>
        </w:rPr>
        <w:t>Linden Archive Project | editorial working copy | 2026-07-13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Collection</w:t>
            </w:r>
          </w:p>
        </w:tc>
        <w:tc>
          <w:tcPr>
            <w:tcW w:type="dxa" w:w="1987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Container</w:t>
            </w:r>
          </w:p>
        </w:tc>
        <w:tc>
          <w:tcPr>
            <w:tcW w:type="dxa" w:w="1987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1987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987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87"/>
            <w:shd w:fill="EDF2F5"/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Linden Archive Project</w:t>
            </w:r>
          </w:p>
        </w:tc>
        <w:tc>
          <w:tcPr>
            <w:tcW w:type="dxa" w:w="1987"/>
            <w:shd w:fill="EDF2F5"/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Box 14</w:t>
            </w:r>
          </w:p>
        </w:tc>
        <w:tc>
          <w:tcPr>
            <w:tcW w:type="dxa" w:w="1987"/>
            <w:shd w:fill="EDF2F5"/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folio 184</w:t>
            </w:r>
          </w:p>
        </w:tc>
        <w:tc>
          <w:tcPr>
            <w:tcW w:type="dxa" w:w="1987"/>
            <w:shd w:fill="EDF2F5"/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citation LA-042</w:t>
            </w:r>
          </w:p>
        </w:tc>
        <w:tc>
          <w:tcPr>
            <w:tcW w:type="dxa" w:w="1987"/>
            <w:shd w:fill="EDF2F5"/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Synthetic</w:t>
            </w:r>
          </w:p>
        </w:tc>
      </w:tr>
    </w:tbl>
    <w:p>
      <w:pPr>
        <w:spacing w:before="240" w:after="80"/>
      </w:pPr>
      <w:r>
        <w:rPr>
          <w:rFonts w:ascii="Aptos" w:hAnsi="Aptos"/>
          <w:b/>
          <w:color w:val="17324D"/>
          <w:sz w:val="28"/>
        </w:rPr>
        <w:t>Purpose</w:t>
      </w:r>
    </w:p>
    <w:p>
      <w:pPr>
        <w:spacing w:after="140"/>
      </w:pPr>
      <w:r>
        <w:rPr>
          <w:rFonts w:ascii="Aptos" w:hAnsi="Aptos"/>
          <w:b w:val="0"/>
          <w:color w:val="243746"/>
          <w:sz w:val="20"/>
        </w:rPr>
        <w:t>This appendix makes transcription decisions inspectable. The Linden Archive Project uses a compact convention set for Box 14 and related source descriptions.</w:t>
      </w:r>
    </w:p>
    <w:p>
      <w:pPr>
        <w:spacing w:before="240" w:after="80"/>
      </w:pPr>
      <w:r>
        <w:rPr>
          <w:rFonts w:ascii="Aptos" w:hAnsi="Aptos"/>
          <w:b/>
          <w:color w:val="17324D"/>
          <w:sz w:val="28"/>
        </w:rPr>
        <w:t>Marks and uncertainty</w:t>
      </w:r>
    </w:p>
    <w:p>
      <w:pPr>
        <w:spacing w:after="140"/>
      </w:pPr>
      <w:r>
        <w:rPr>
          <w:rFonts w:ascii="Aptos" w:hAnsi="Aptos"/>
          <w:b w:val="0"/>
          <w:color w:val="243746"/>
          <w:sz w:val="20"/>
        </w:rPr>
        <w:t>Use [illegible: n words] for unreadable passages, [word?] for uncertainty, [supplied: text] for editorial supply, and &lt;del&gt;text&lt;/del&gt; for a deletion. Never silently normalise an uncertain reading.</w:t>
      </w:r>
    </w:p>
    <w:p>
      <w:pPr>
        <w:spacing w:before="240" w:after="80"/>
      </w:pPr>
      <w:r>
        <w:rPr>
          <w:rFonts w:ascii="Aptos" w:hAnsi="Aptos"/>
          <w:b/>
          <w:color w:val="17324D"/>
          <w:sz w:val="28"/>
        </w:rPr>
        <w:t>Citation practice</w:t>
      </w:r>
    </w:p>
    <w:p>
      <w:pPr>
        <w:spacing w:after="140"/>
      </w:pPr>
      <w:r>
        <w:rPr>
          <w:rFonts w:ascii="Aptos" w:hAnsi="Aptos"/>
          <w:b w:val="0"/>
          <w:color w:val="243746"/>
          <w:sz w:val="20"/>
        </w:rPr>
        <w:t>Name both the local source ID and the bibliography key: LA-SRC-B14-F184, Box 14, folio 184, citation LA-042. The dated editorial snapshot is 2026-07-13.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2616B"/>
        <w:sz w:val="16"/>
      </w:rPr>
      <w:t>Linden Archive Project - fictional research record - 2026-07-13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2616B"/>
        <w:sz w:val="16"/>
      </w:rPr>
      <w:t>LINDEN ARCHIVE PROJECT  |  APPENDIX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