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ptos" w:hAnsi="Aptos"/>
          <w:b/>
          <w:color w:val="A17D2D"/>
          <w:sz w:val="20"/>
        </w:rPr>
        <w:t>LINDEN ARCHIVE PROJECT</w:t>
      </w:r>
    </w:p>
    <w:p>
      <w:pPr>
        <w:pStyle w:val="Title"/>
        <w:jc w:val="center"/>
      </w:pPr>
      <w:r>
        <w:t>Chapter 01: Archive Context</w:t>
      </w:r>
    </w:p>
    <w:p>
      <w:pPr>
        <w:pStyle w:val="Subtitle"/>
        <w:jc w:val="center"/>
      </w:pPr>
      <w:r>
        <w:t>Institution, collection, and the editorial meeting device</w:t>
      </w:r>
    </w:p>
    <w:p>
      <w:pPr>
        <w:spacing w:after="440"/>
        <w:jc w:val="center"/>
      </w:pPr>
      <w:r>
        <w:rPr>
          <w:rFonts w:ascii="Aptos" w:hAnsi="Aptos"/>
          <w:i/>
          <w:color w:val="646464"/>
          <w:sz w:val="18"/>
        </w:rPr>
        <w:t>Synthetic dissertation working material | Snapshot 2026-07-13</w:t>
      </w:r>
    </w:p>
    <w:tbl>
      <w:tblPr>
        <w:tblW w:type="auto" w:w="0"/>
        <w:jc w:val="left"/>
        <w:tblLayout w:type="fixed"/>
        <w:tblLook w:firstColumn="1" w:firstRow="1" w:lastColumn="0" w:lastRow="0" w:noHBand="0" w:noVBand="1" w:val="04A0"/>
      </w:tblPr>
      <w:tblGrid>
        <w:gridCol w:w="4680"/>
        <w:gridCol w:w="4680"/>
      </w:tblGrid>
      <w:tr>
        <w:tc>
          <w:tcPr>
            <w:tcW w:type="dxa" w:w="1944"/>
            <w:tcMar>
              <w:top w:w="80" w:type="dxa"/>
              <w:start w:w="120" w:type="dxa"/>
              <w:bottom w:w="80" w:type="dxa"/>
              <w:end w:w="120" w:type="dxa"/>
            </w:tcMar>
            <w:vAlign w:val="center"/>
            <w:shd w:fill="EAF1F7"/>
          </w:tcPr>
          <w:p>
            <w:r>
              <w:rPr>
                <w:rFonts w:ascii="Aptos" w:hAnsi="Aptos"/>
                <w:b/>
                <w:color w:val="1F4D78"/>
                <w:sz w:val="18"/>
              </w:rPr>
              <w:t>Document status</w:t>
            </w:r>
          </w:p>
        </w:tc>
        <w:tc>
          <w:tcPr>
            <w:tcW w:type="dxa" w:w="7416"/>
            <w:tcMar>
              <w:top w:w="80" w:type="dxa"/>
              <w:start w:w="120" w:type="dxa"/>
              <w:bottom w:w="80" w:type="dxa"/>
              <w:end w:w="120" w:type="dxa"/>
            </w:tcMar>
            <w:vAlign w:val="center"/>
          </w:tcPr>
          <w:p>
            <w:r>
              <w:rPr>
                <w:rFonts w:ascii="Aptos" w:hAnsi="Aptos"/>
                <w:sz w:val="19"/>
              </w:rPr>
              <w:t>Working chapter context; wholly synthetic research corpus</w:t>
            </w:r>
          </w:p>
        </w:tc>
      </w:tr>
      <w:tr>
        <w:tc>
          <w:tcPr>
            <w:tcW w:type="dxa" w:w="1944"/>
            <w:tcMar>
              <w:top w:w="80" w:type="dxa"/>
              <w:start w:w="120" w:type="dxa"/>
              <w:bottom w:w="80" w:type="dxa"/>
              <w:end w:w="120" w:type="dxa"/>
            </w:tcMar>
            <w:vAlign w:val="center"/>
            <w:shd w:fill="EAF1F7"/>
          </w:tcPr>
          <w:p>
            <w:r>
              <w:rPr>
                <w:rFonts w:ascii="Aptos" w:hAnsi="Aptos"/>
                <w:b/>
                <w:color w:val="1F4D78"/>
                <w:sz w:val="18"/>
              </w:rPr>
              <w:t>Core object</w:t>
            </w:r>
          </w:p>
        </w:tc>
        <w:tc>
          <w:tcPr>
            <w:tcW w:type="dxa" w:w="7416"/>
            <w:tcMar>
              <w:top w:w="80" w:type="dxa"/>
              <w:start w:w="120" w:type="dxa"/>
              <w:bottom w:w="80" w:type="dxa"/>
              <w:end w:w="120" w:type="dxa"/>
            </w:tcMar>
            <w:vAlign w:val="center"/>
          </w:tcPr>
          <w:p>
            <w:r>
              <w:rPr>
                <w:rFonts w:ascii="Aptos" w:hAnsi="Aptos"/>
                <w:sz w:val="19"/>
              </w:rPr>
              <w:t>LA-SRC-B14-F184, Box 14, folio 184; cited as citation LA-042</w:t>
            </w:r>
          </w:p>
        </w:tc>
      </w:tr>
      <w:tr>
        <w:tc>
          <w:tcPr>
            <w:tcW w:type="dxa" w:w="1944"/>
            <w:tcMar>
              <w:top w:w="80" w:type="dxa"/>
              <w:start w:w="120" w:type="dxa"/>
              <w:bottom w:w="80" w:type="dxa"/>
              <w:end w:w="120" w:type="dxa"/>
            </w:tcMar>
            <w:vAlign w:val="center"/>
            <w:shd w:fill="EAF1F7"/>
          </w:tcPr>
          <w:p>
            <w:r>
              <w:rPr>
                <w:rFonts w:ascii="Aptos" w:hAnsi="Aptos"/>
                <w:b/>
                <w:color w:val="1F4D78"/>
                <w:sz w:val="18"/>
              </w:rPr>
              <w:t>Working claim</w:t>
            </w:r>
          </w:p>
        </w:tc>
        <w:tc>
          <w:tcPr>
            <w:tcW w:type="dxa" w:w="7416"/>
            <w:tcMar>
              <w:top w:w="80" w:type="dxa"/>
              <w:start w:w="120" w:type="dxa"/>
              <w:bottom w:w="80" w:type="dxa"/>
              <w:end w:w="120" w:type="dxa"/>
            </w:tcMar>
            <w:vAlign w:val="center"/>
          </w:tcPr>
          <w:p>
            <w:r>
              <w:rPr>
                <w:rFonts w:ascii="Aptos" w:hAnsi="Aptos"/>
                <w:sz w:val="19"/>
              </w:rPr>
              <w:t>The linden image operates as an editorial meeting device, not a stable national symbol.</w:t>
            </w:r>
          </w:p>
        </w:tc>
      </w:tr>
      <w:tr>
        <w:tc>
          <w:tcPr>
            <w:tcW w:type="dxa" w:w="1944"/>
            <w:tcMar>
              <w:top w:w="80" w:type="dxa"/>
              <w:start w:w="120" w:type="dxa"/>
              <w:bottom w:w="80" w:type="dxa"/>
              <w:end w:w="120" w:type="dxa"/>
            </w:tcMar>
            <w:vAlign w:val="center"/>
            <w:shd w:fill="EAF1F7"/>
          </w:tcPr>
          <w:p>
            <w:r>
              <w:rPr>
                <w:rFonts w:ascii="Aptos" w:hAnsi="Aptos"/>
                <w:b/>
                <w:color w:val="1F4D78"/>
                <w:sz w:val="18"/>
              </w:rPr>
              <w:t>Reference snapshot</w:t>
            </w:r>
          </w:p>
        </w:tc>
        <w:tc>
          <w:tcPr>
            <w:tcW w:type="dxa" w:w="7416"/>
            <w:tcMar>
              <w:top w:w="80" w:type="dxa"/>
              <w:start w:w="120" w:type="dxa"/>
              <w:bottom w:w="80" w:type="dxa"/>
              <w:end w:w="120" w:type="dxa"/>
            </w:tcMar>
            <w:vAlign w:val="center"/>
          </w:tcPr>
          <w:p>
            <w:r>
              <w:rPr>
                <w:rFonts w:ascii="Aptos" w:hAnsi="Aptos"/>
                <w:sz w:val="19"/>
              </w:rPr>
              <w:t>2026-07-13</w:t>
            </w:r>
          </w:p>
        </w:tc>
      </w:tr>
    </w:tbl>
    <w:p/>
    <w:p>
      <w:pPr>
        <w:pStyle w:val="Heading1"/>
      </w:pPr>
      <w:r>
        <w:t>Archive frame</w:t>
      </w:r>
    </w:p>
    <w:p>
      <w:pPr>
        <w:spacing w:after="140"/>
      </w:pPr>
      <w:r>
        <w:rPr>
          <w:rFonts w:ascii="Aptos" w:hAnsi="Aptos"/>
          <w:i w:val="0"/>
          <w:sz w:val="22"/>
        </w:rPr>
        <w:t>The Haldenmere Civic Repository and its Linden Correspondence Series (LCS) are synthetic research settings. Their descriptive records establish a controlled scene for testing how catalogue language, material marks, and multilingual circulation can be read together.</w:t>
      </w:r>
    </w:p>
    <w:p>
      <w:pPr>
        <w:pStyle w:val="Heading1"/>
      </w:pPr>
      <w:r>
        <w:t>The Box 14 sequence</w:t>
      </w:r>
    </w:p>
    <w:p>
      <w:pPr>
        <w:spacing w:after="140"/>
      </w:pPr>
      <w:r>
        <w:rPr>
          <w:rFonts w:ascii="Aptos" w:hAnsi="Aptos"/>
          <w:i w:val="0"/>
          <w:sz w:val="22"/>
        </w:rPr>
        <w:t>Box 14 places the 1907 letter within a sequence of drafting, enclosure, curatorial annotation, revision, proof, gloss, and response. Folio 184 is the hinge: it bears Vale's address to Moreau and the line “The linden's shade keeps the town's many tongues in one patient circle.”</w:t>
      </w:r>
    </w:p>
    <w:p>
      <w:pPr>
        <w:pStyle w:val="Heading1"/>
      </w:pPr>
      <w:r>
        <w:t>Argument horizon</w:t>
      </w:r>
    </w:p>
    <w:p>
      <w:pPr>
        <w:spacing w:after="140"/>
      </w:pPr>
      <w:r>
        <w:rPr>
          <w:rFonts w:ascii="Aptos" w:hAnsi="Aptos"/>
          <w:i w:val="0"/>
          <w:sz w:val="22"/>
        </w:rPr>
        <w:t>The chapter resists treating the linden as inherited emblem. Instead, it traces how the image convenes voices across English, French, German, and Japanese, where each material transfer changes its practical use. Citation LA-042 is therefore read with LA-017, LA-028, LA-057, and LA-063 rather than in isolation.</w:t>
      </w:r>
    </w:p>
    <w:p>
      <w:pPr>
        <w:pStyle w:val="Heading2"/>
      </w:pPr>
      <w:r>
        <w:t>Evidence controls</w:t>
      </w:r>
    </w:p>
    <w:p>
      <w:pPr>
        <w:pStyle w:val="ListBullet"/>
        <w:spacing w:after="80"/>
        <w:ind w:left="720" w:hanging="274"/>
      </w:pPr>
      <w:r>
        <w:t>LA-017: Box 6, folio 112 - 1891 lecture notes.</w:t>
      </w:r>
    </w:p>
    <w:p>
      <w:pPr>
        <w:pStyle w:val="ListBullet"/>
        <w:spacing w:after="80"/>
        <w:ind w:left="720" w:hanging="274"/>
      </w:pPr>
      <w:r>
        <w:t>LA-028: Box 9, folio 072 - 1898 print proofs.</w:t>
      </w:r>
    </w:p>
    <w:p>
      <w:pPr>
        <w:pStyle w:val="ListBullet"/>
        <w:spacing w:after="80"/>
        <w:ind w:left="720" w:hanging="274"/>
      </w:pPr>
      <w:r>
        <w:t>LA-042: Box 14, folio 184 - 1907-03-16 Vale to Moreau letter.</w:t>
      </w:r>
    </w:p>
    <w:p>
      <w:pPr>
        <w:pStyle w:val="ListBullet"/>
        <w:spacing w:after="80"/>
        <w:ind w:left="720" w:hanging="274"/>
      </w:pPr>
      <w:r>
        <w:t>LA-057: Box 18, folio 203 - 1910 translation circular.</w:t>
      </w:r>
    </w:p>
    <w:p>
      <w:pPr>
        <w:pStyle w:val="ListBullet"/>
        <w:spacing w:after="80"/>
        <w:ind w:left="720" w:hanging="274"/>
      </w:pPr>
      <w:r>
        <w:t>LA-063: Box 21, folio 044 - 1912 memorial programme.</w:t>
      </w:r>
    </w:p>
    <w:p>
      <w:pPr>
        <w:pStyle w:val="Heading2"/>
      </w:pPr>
      <w:r>
        <w:t>Source note</w:t>
      </w:r>
    </w:p>
    <w:p>
      <w:pPr>
        <w:spacing w:after="140"/>
      </w:pPr>
      <w:r>
        <w:rPr>
          <w:rFonts w:ascii="Aptos" w:hAnsi="Aptos"/>
          <w:i w:val="0"/>
          <w:sz w:val="22"/>
        </w:rPr>
        <w:t>All people, repository records, quotations, source identifiers, and interpretive claims in this chapter material are synthetic. The cited sequence is maintained solely for the Linden Archive Project corpus.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46464"/>
        <w:sz w:val="17"/>
      </w:rPr>
      <w:t>LINDEN ARCHIVE PROJECT  |  DISSERTATION CHAPTER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i/>
      <w:iCs/>
      <w:color w:val="52525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