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Aptos" w:hAnsi="Aptos"/>
          <w:b/>
          <w:color w:val="A17D2D"/>
          <w:sz w:val="20"/>
        </w:rPr>
        <w:t>LINDEN ARCHIVE PROJECT</w:t>
      </w:r>
    </w:p>
    <w:p>
      <w:pPr>
        <w:pStyle w:val="Title"/>
        <w:jc w:val="center"/>
      </w:pPr>
      <w:r>
        <w:t>Chapter 01: Methodology</w:t>
      </w:r>
    </w:p>
    <w:p>
      <w:pPr>
        <w:pStyle w:val="Subtitle"/>
        <w:jc w:val="center"/>
      </w:pPr>
      <w:r>
        <w:t>A material, multilingual, and route-based reading protocol</w:t>
      </w:r>
    </w:p>
    <w:p>
      <w:pPr>
        <w:spacing w:after="440"/>
        <w:jc w:val="center"/>
      </w:pPr>
      <w:r>
        <w:rPr>
          <w:rFonts w:ascii="Aptos" w:hAnsi="Aptos"/>
          <w:i/>
          <w:color w:val="646464"/>
          <w:sz w:val="18"/>
        </w:rPr>
        <w:t>Synthetic dissertation working material | Snapshot 2026-07-13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r>
              <w:rPr>
                <w:rFonts w:ascii="Aptos" w:hAnsi="Aptos"/>
                <w:b/>
                <w:color w:val="1F4D78"/>
                <w:sz w:val="18"/>
              </w:rPr>
              <w:t>Method stance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Synthetic philological comparison with explicit source identifiers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r>
              <w:rPr>
                <w:rFonts w:ascii="Aptos" w:hAnsi="Aptos"/>
                <w:b/>
                <w:color w:val="1F4D78"/>
                <w:sz w:val="18"/>
              </w:rPr>
              <w:t>Primary record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Box 14, folio 184; citation LA-042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r>
              <w:rPr>
                <w:rFonts w:ascii="Aptos" w:hAnsi="Aptos"/>
                <w:b/>
                <w:color w:val="1F4D78"/>
                <w:sz w:val="18"/>
              </w:rPr>
              <w:t>Evidence dimensions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Material marks, language shifts, circulation notes, later reception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7"/>
          </w:tcPr>
          <w:p>
            <w:r>
              <w:rPr>
                <w:rFonts w:ascii="Aptos" w:hAnsi="Aptos"/>
                <w:b/>
                <w:color w:val="1F4D78"/>
                <w:sz w:val="18"/>
              </w:rPr>
              <w:t>Reference snapshot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2026-07-13</w:t>
            </w:r>
          </w:p>
        </w:tc>
      </w:tr>
    </w:tbl>
    <w:p/>
    <w:p>
      <w:pPr>
        <w:pStyle w:val="Heading1"/>
      </w:pPr>
      <w:r>
        <w:t>Method</w:t>
      </w:r>
    </w:p>
    <w:p>
      <w:pPr>
        <w:spacing w:after="140"/>
      </w:pPr>
      <w:r>
        <w:rPr>
          <w:rFonts w:ascii="Aptos" w:hAnsi="Aptos"/>
          <w:i w:val="0"/>
          <w:sz w:val="22"/>
        </w:rPr>
        <w:t>Each source is read in four passes: source description, transcription control, translation comparison, and reception route. The method keeps a distinction between what a record visibly offers and what the chapter infers from its relation to another record.</w:t>
      </w:r>
    </w:p>
    <w:p>
      <w:pPr>
        <w:pStyle w:val="Heading1"/>
      </w:pPr>
      <w:r>
        <w:t>Reading protocol</w:t>
      </w:r>
    </w:p>
    <w:p>
      <w:pPr>
        <w:spacing w:after="140"/>
      </w:pPr>
      <w:r>
        <w:rPr>
          <w:rFonts w:ascii="Aptos" w:hAnsi="Aptos"/>
          <w:i w:val="0"/>
          <w:sz w:val="22"/>
        </w:rPr>
        <w:t>For folio 184, the first pass records cream laid paper, the fictional HCR/LCS oval accession stamp, iron-gall-style brown synthetic handwriting, blue editorial pencil, and a leaf watermark. The second pass keeps uncertainties explicit. The third aligns wording choices for linden, tilleul, Linde, and 菩提樹. The fourth follows later citation and programme use.</w:t>
      </w:r>
    </w:p>
    <w:p>
      <w:pPr>
        <w:pStyle w:val="Heading1"/>
      </w:pPr>
      <w:r>
        <w:t>Citation discipline</w:t>
      </w:r>
    </w:p>
    <w:p>
      <w:pPr>
        <w:spacing w:after="140"/>
      </w:pPr>
      <w:r>
        <w:rPr>
          <w:rFonts w:ascii="Aptos" w:hAnsi="Aptos"/>
          <w:i w:val="0"/>
          <w:sz w:val="22"/>
        </w:rPr>
        <w:t>LA-042 identifies Box 14/F184. LA-017 identifies Box 6/F112; LA-028 identifies Box 9/F072; LA-057 identifies Box 18/F203; LA-063 identifies Box 21/F044. This ledger makes comparison auditable without importing real archives or sources.</w:t>
      </w:r>
    </w:p>
    <w:p>
      <w:pPr>
        <w:pStyle w:val="Heading2"/>
      </w:pPr>
      <w:r>
        <w:t>Evidence controls</w:t>
      </w:r>
    </w:p>
    <w:p>
      <w:pPr>
        <w:pStyle w:val="ListBullet"/>
        <w:spacing w:after="80"/>
        <w:ind w:left="720" w:hanging="274"/>
      </w:pPr>
      <w:r>
        <w:t>LA-017: Box 6, folio 112 - 1891 lecture notes.</w:t>
      </w:r>
    </w:p>
    <w:p>
      <w:pPr>
        <w:pStyle w:val="ListBullet"/>
        <w:spacing w:after="80"/>
        <w:ind w:left="720" w:hanging="274"/>
      </w:pPr>
      <w:r>
        <w:t>LA-028: Box 9, folio 072 - 1898 print proofs.</w:t>
      </w:r>
    </w:p>
    <w:p>
      <w:pPr>
        <w:pStyle w:val="ListBullet"/>
        <w:spacing w:after="80"/>
        <w:ind w:left="720" w:hanging="274"/>
      </w:pPr>
      <w:r>
        <w:t>LA-042: Box 14, folio 184 - 1907-03-16 Vale to Moreau letter.</w:t>
      </w:r>
    </w:p>
    <w:p>
      <w:pPr>
        <w:pStyle w:val="ListBullet"/>
        <w:spacing w:after="80"/>
        <w:ind w:left="720" w:hanging="274"/>
      </w:pPr>
      <w:r>
        <w:t>LA-057: Box 18, folio 203 - 1910 translation circular.</w:t>
      </w:r>
    </w:p>
    <w:p>
      <w:pPr>
        <w:pStyle w:val="ListBullet"/>
        <w:spacing w:after="80"/>
        <w:ind w:left="720" w:hanging="274"/>
      </w:pPr>
      <w:r>
        <w:t>LA-063: Box 21, folio 044 - 1912 memorial programme.</w:t>
      </w:r>
    </w:p>
    <w:p>
      <w:pPr>
        <w:pStyle w:val="Heading2"/>
      </w:pPr>
      <w:r>
        <w:t>Source note</w:t>
      </w:r>
    </w:p>
    <w:p>
      <w:pPr>
        <w:spacing w:after="140"/>
      </w:pPr>
      <w:r>
        <w:rPr>
          <w:rFonts w:ascii="Aptos" w:hAnsi="Aptos"/>
          <w:i w:val="0"/>
          <w:sz w:val="22"/>
        </w:rPr>
        <w:t>All people, repository records, quotations, source identifiers, and interpretive claims in this chapter material are synthetic. The cited sequence is maintained solely for the Linden Archive Project corpus.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4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646464"/>
        <w:sz w:val="17"/>
      </w:rPr>
      <w:t>LINDEN ARCHIVE PROJECT  |  DISSERTATION CHAPTER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0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i/>
      <w:iCs/>
      <w:color w:val="52525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