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ptos" w:hAnsi="Aptos"/>
          <w:b/>
          <w:color w:val="A17D2D"/>
          <w:sz w:val="20"/>
        </w:rPr>
        <w:t>LINDEN ARCHIVE PROJECT</w:t>
      </w:r>
    </w:p>
    <w:p>
      <w:pPr>
        <w:pStyle w:val="Title"/>
        <w:jc w:val="center"/>
      </w:pPr>
      <w:r>
        <w:t>Chapter 01: Research Question</w:t>
      </w:r>
    </w:p>
    <w:p>
      <w:pPr>
        <w:pStyle w:val="Subtitle"/>
        <w:jc w:val="center"/>
      </w:pPr>
      <w:r>
        <w:t>A question-led statement of the archive problem</w:t>
      </w:r>
    </w:p>
    <w:p>
      <w:pPr>
        <w:spacing w:after="440"/>
        <w:jc w:val="center"/>
      </w:pPr>
      <w:r>
        <w:rPr>
          <w:rFonts w:ascii="Aptos" w:hAnsi="Aptos"/>
          <w:i/>
          <w:color w:val="646464"/>
          <w:sz w:val="18"/>
        </w:rPr>
        <w:t>Synthetic dissertation working material | Snapshot 2026-07-13</w:t>
      </w:r>
    </w:p>
    <w:tbl>
      <w:tblPr>
        <w:tblW w:type="auto" w:w="0"/>
        <w:jc w:val="left"/>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EAF1F7"/>
          </w:tcPr>
          <w:p>
            <w:r>
              <w:rPr>
                <w:rFonts w:ascii="Aptos" w:hAnsi="Aptos"/>
                <w:b/>
                <w:color w:val="1F4D78"/>
                <w:sz w:val="18"/>
              </w:rPr>
              <w:t>Primary question</w:t>
            </w:r>
          </w:p>
        </w:tc>
        <w:tc>
          <w:tcPr>
            <w:tcW w:type="dxa" w:w="7416"/>
            <w:tcMar>
              <w:top w:w="80" w:type="dxa"/>
              <w:start w:w="120" w:type="dxa"/>
              <w:bottom w:w="80" w:type="dxa"/>
              <w:end w:w="120" w:type="dxa"/>
            </w:tcMar>
            <w:vAlign w:val="center"/>
          </w:tcPr>
          <w:p>
            <w:r>
              <w:rPr>
                <w:rFonts w:ascii="Aptos" w:hAnsi="Aptos"/>
                <w:sz w:val="19"/>
              </w:rPr>
              <w:t>How does the linden image organise editorial meeting across the LCS?</w:t>
            </w:r>
          </w:p>
        </w:tc>
      </w:tr>
      <w:tr>
        <w:tc>
          <w:tcPr>
            <w:tcW w:type="dxa" w:w="1944"/>
            <w:tcMar>
              <w:top w:w="80" w:type="dxa"/>
              <w:start w:w="120" w:type="dxa"/>
              <w:bottom w:w="80" w:type="dxa"/>
              <w:end w:w="120" w:type="dxa"/>
            </w:tcMar>
            <w:vAlign w:val="center"/>
            <w:shd w:fill="EAF1F7"/>
          </w:tcPr>
          <w:p>
            <w:r>
              <w:rPr>
                <w:rFonts w:ascii="Aptos" w:hAnsi="Aptos"/>
                <w:b/>
                <w:color w:val="1F4D78"/>
                <w:sz w:val="18"/>
              </w:rPr>
              <w:t>Focal evidence</w:t>
            </w:r>
          </w:p>
        </w:tc>
        <w:tc>
          <w:tcPr>
            <w:tcW w:type="dxa" w:w="7416"/>
            <w:tcMar>
              <w:top w:w="80" w:type="dxa"/>
              <w:start w:w="120" w:type="dxa"/>
              <w:bottom w:w="80" w:type="dxa"/>
              <w:end w:w="120" w:type="dxa"/>
            </w:tcMar>
            <w:vAlign w:val="center"/>
          </w:tcPr>
          <w:p>
            <w:r>
              <w:rPr>
                <w:rFonts w:ascii="Aptos" w:hAnsi="Aptos"/>
                <w:sz w:val="19"/>
              </w:rPr>
              <w:t>Box 14, folio 184, LA-SRC-B14-F184; citation LA-042</w:t>
            </w:r>
          </w:p>
        </w:tc>
      </w:tr>
      <w:tr>
        <w:tc>
          <w:tcPr>
            <w:tcW w:type="dxa" w:w="1944"/>
            <w:tcMar>
              <w:top w:w="80" w:type="dxa"/>
              <w:start w:w="120" w:type="dxa"/>
              <w:bottom w:w="80" w:type="dxa"/>
              <w:end w:w="120" w:type="dxa"/>
            </w:tcMar>
            <w:vAlign w:val="center"/>
            <w:shd w:fill="EAF1F7"/>
          </w:tcPr>
          <w:p>
            <w:r>
              <w:rPr>
                <w:rFonts w:ascii="Aptos" w:hAnsi="Aptos"/>
                <w:b/>
                <w:color w:val="1F4D78"/>
                <w:sz w:val="18"/>
              </w:rPr>
              <w:t>Working languages</w:t>
            </w:r>
          </w:p>
        </w:tc>
        <w:tc>
          <w:tcPr>
            <w:tcW w:type="dxa" w:w="7416"/>
            <w:tcMar>
              <w:top w:w="80" w:type="dxa"/>
              <w:start w:w="120" w:type="dxa"/>
              <w:bottom w:w="80" w:type="dxa"/>
              <w:end w:w="120" w:type="dxa"/>
            </w:tcMar>
            <w:vAlign w:val="center"/>
          </w:tcPr>
          <w:p>
            <w:r>
              <w:rPr>
                <w:rFonts w:ascii="Aptos" w:hAnsi="Aptos"/>
                <w:sz w:val="19"/>
              </w:rPr>
              <w:t>English, French, German, Japanese</w:t>
            </w:r>
          </w:p>
        </w:tc>
      </w:tr>
      <w:tr>
        <w:tc>
          <w:tcPr>
            <w:tcW w:type="dxa" w:w="1944"/>
            <w:tcMar>
              <w:top w:w="80" w:type="dxa"/>
              <w:start w:w="120" w:type="dxa"/>
              <w:bottom w:w="80" w:type="dxa"/>
              <w:end w:w="120" w:type="dxa"/>
            </w:tcMar>
            <w:vAlign w:val="center"/>
            <w:shd w:fill="EAF1F7"/>
          </w:tcPr>
          <w:p>
            <w:r>
              <w:rPr>
                <w:rFonts w:ascii="Aptos" w:hAnsi="Aptos"/>
                <w:b/>
                <w:color w:val="1F4D78"/>
                <w:sz w:val="18"/>
              </w:rPr>
              <w:t>Reference snapshot</w:t>
            </w:r>
          </w:p>
        </w:tc>
        <w:tc>
          <w:tcPr>
            <w:tcW w:type="dxa" w:w="7416"/>
            <w:tcMar>
              <w:top w:w="80" w:type="dxa"/>
              <w:start w:w="120" w:type="dxa"/>
              <w:bottom w:w="80" w:type="dxa"/>
              <w:end w:w="120" w:type="dxa"/>
            </w:tcMar>
            <w:vAlign w:val="center"/>
          </w:tcPr>
          <w:p>
            <w:r>
              <w:rPr>
                <w:rFonts w:ascii="Aptos" w:hAnsi="Aptos"/>
                <w:sz w:val="19"/>
              </w:rPr>
              <w:t>2026-07-13</w:t>
            </w:r>
          </w:p>
        </w:tc>
      </w:tr>
    </w:tbl>
    <w:p/>
    <w:p>
      <w:pPr>
        <w:pStyle w:val="Heading1"/>
      </w:pPr>
      <w:r>
        <w:t>Question and proposition</w:t>
      </w:r>
    </w:p>
    <w:p>
      <w:pPr>
        <w:spacing w:after="140"/>
      </w:pPr>
      <w:r>
        <w:rPr>
          <w:rFonts w:ascii="Aptos" w:hAnsi="Aptos"/>
          <w:i w:val="0"/>
          <w:sz w:val="22"/>
        </w:rPr>
        <w:t>This chapter asks how a recurring linden figure becomes usable across editorial exchanges without becoming a fixed national sign. It proposes that the figure works through material coordination: a letter, an enclosure, a note, a proof, and a gloss each reposition the image.</w:t>
      </w:r>
    </w:p>
    <w:p>
      <w:pPr>
        <w:pStyle w:val="Heading1"/>
      </w:pPr>
      <w:r>
        <w:t>Bounded inquiry</w:t>
      </w:r>
    </w:p>
    <w:p>
      <w:pPr>
        <w:spacing w:after="140"/>
      </w:pPr>
      <w:r>
        <w:rPr>
          <w:rFonts w:ascii="Aptos" w:hAnsi="Aptos"/>
          <w:i w:val="0"/>
          <w:sz w:val="22"/>
        </w:rPr>
        <w:t>The inquiry begins with folio 184 in Box 14 and compares it with the related sequence. It asks what changes when wording, marginal marks, and circulation instructions are treated as coequal evidence.</w:t>
      </w:r>
    </w:p>
    <w:p>
      <w:pPr>
        <w:pStyle w:val="Heading1"/>
      </w:pPr>
      <w:r>
        <w:t>Expected contribution</w:t>
      </w:r>
    </w:p>
    <w:p>
      <w:pPr>
        <w:spacing w:after="140"/>
      </w:pPr>
      <w:r>
        <w:rPr>
          <w:rFonts w:ascii="Aptos" w:hAnsi="Aptos"/>
          <w:i w:val="0"/>
          <w:sz w:val="22"/>
        </w:rPr>
        <w:t>The chapter develops a method for reading archive context as a set of negotiated routes. The central evidence remains citation LA-042, but the conclusion depends on cross-series checks with citations LA-017, LA-028, LA-057, and LA-063.</w:t>
      </w:r>
    </w:p>
    <w:p>
      <w:pPr>
        <w:pStyle w:val="Heading2"/>
      </w:pPr>
      <w:r>
        <w:t>Evidence controls</w:t>
      </w:r>
    </w:p>
    <w:p>
      <w:pPr>
        <w:pStyle w:val="ListBullet"/>
        <w:spacing w:after="80"/>
        <w:ind w:left="720" w:hanging="274"/>
      </w:pPr>
      <w:r>
        <w:t>LA-017: Box 6, folio 112 - 1891 lecture notes.</w:t>
      </w:r>
    </w:p>
    <w:p>
      <w:pPr>
        <w:pStyle w:val="ListBullet"/>
        <w:spacing w:after="80"/>
        <w:ind w:left="720" w:hanging="274"/>
      </w:pPr>
      <w:r>
        <w:t>LA-028: Box 9, folio 072 - 1898 print proofs.</w:t>
      </w:r>
    </w:p>
    <w:p>
      <w:pPr>
        <w:pStyle w:val="ListBullet"/>
        <w:spacing w:after="80"/>
        <w:ind w:left="720" w:hanging="274"/>
      </w:pPr>
      <w:r>
        <w:t>LA-042: Box 14, folio 184 - 1907-03-16 Vale to Moreau letter.</w:t>
      </w:r>
    </w:p>
    <w:p>
      <w:pPr>
        <w:pStyle w:val="ListBullet"/>
        <w:spacing w:after="80"/>
        <w:ind w:left="720" w:hanging="274"/>
      </w:pPr>
      <w:r>
        <w:t>LA-057: Box 18, folio 203 - 1910 translation circular.</w:t>
      </w:r>
    </w:p>
    <w:p>
      <w:pPr>
        <w:pStyle w:val="ListBullet"/>
        <w:spacing w:after="80"/>
        <w:ind w:left="720" w:hanging="274"/>
      </w:pPr>
      <w:r>
        <w:t>LA-063: Box 21, folio 044 - 1912 memorial programme.</w:t>
      </w:r>
    </w:p>
    <w:p>
      <w:pPr>
        <w:pStyle w:val="Heading2"/>
      </w:pPr>
      <w:r>
        <w:t>Source note</w:t>
      </w:r>
    </w:p>
    <w:p>
      <w:pPr>
        <w:spacing w:after="140"/>
      </w:pPr>
      <w:r>
        <w:rPr>
          <w:rFonts w:ascii="Aptos" w:hAnsi="Aptos"/>
          <w:i w:val="0"/>
          <w:sz w:val="22"/>
        </w:rPr>
        <w:t>All people, repository records, quotations, source identifiers, and interpretive claims in this chapter material are synthetic. The cited sequence is maintained solely for the Linden Archive Project corpus.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46464"/>
        <w:sz w:val="17"/>
      </w:rPr>
      <w:t>LINDEN ARCHIVE PROJECT  |  DISSERTATION CHAPTER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i/>
      <w:iCs/>
      <w:color w:val="52525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