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ptos" w:hAnsi="Aptos"/>
          <w:b/>
          <w:color w:val="A17D2D"/>
          <w:sz w:val="20"/>
        </w:rPr>
        <w:t>LINDEN ARCHIVE PROJECT</w:t>
      </w:r>
    </w:p>
    <w:p>
      <w:pPr>
        <w:pStyle w:val="Title"/>
        <w:jc w:val="center"/>
      </w:pPr>
      <w:r>
        <w:t>Chapter 01: Section Draft</w:t>
      </w:r>
    </w:p>
    <w:p>
      <w:pPr>
        <w:pStyle w:val="Subtitle"/>
        <w:jc w:val="center"/>
      </w:pPr>
      <w:r>
        <w:t>The linden as a device for assembling editorial relation</w:t>
      </w:r>
    </w:p>
    <w:p>
      <w:pPr>
        <w:spacing w:after="440"/>
        <w:jc w:val="center"/>
      </w:pPr>
      <w:r>
        <w:rPr>
          <w:rFonts w:ascii="Aptos" w:hAnsi="Aptos"/>
          <w:i/>
          <w:color w:val="646464"/>
          <w:sz w:val="18"/>
        </w:rPr>
        <w:t>Synthetic dissertation working material | Snapshot 2026-07-13</w:t>
      </w:r>
    </w:p>
    <w:tbl>
      <w:tblPr>
        <w:tblW w:type="auto" w:w="0"/>
        <w:jc w:val="left"/>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EAF1F7"/>
          </w:tcPr>
          <w:p>
            <w:r>
              <w:rPr>
                <w:rFonts w:ascii="Aptos" w:hAnsi="Aptos"/>
                <w:b/>
                <w:color w:val="1F4D78"/>
                <w:sz w:val="18"/>
              </w:rPr>
              <w:t>Section purpose</w:t>
            </w:r>
          </w:p>
        </w:tc>
        <w:tc>
          <w:tcPr>
            <w:tcW w:type="dxa" w:w="7416"/>
            <w:tcMar>
              <w:top w:w="80" w:type="dxa"/>
              <w:start w:w="120" w:type="dxa"/>
              <w:bottom w:w="80" w:type="dxa"/>
              <w:end w:w="120" w:type="dxa"/>
            </w:tcMar>
            <w:vAlign w:val="center"/>
          </w:tcPr>
          <w:p>
            <w:r>
              <w:rPr>
                <w:rFonts w:ascii="Aptos" w:hAnsi="Aptos"/>
                <w:sz w:val="19"/>
              </w:rPr>
              <w:t>Draft argument for the opening analytical movement</w:t>
            </w:r>
          </w:p>
        </w:tc>
      </w:tr>
      <w:tr>
        <w:tc>
          <w:tcPr>
            <w:tcW w:type="dxa" w:w="1944"/>
            <w:tcMar>
              <w:top w:w="80" w:type="dxa"/>
              <w:start w:w="120" w:type="dxa"/>
              <w:bottom w:w="80" w:type="dxa"/>
              <w:end w:w="120" w:type="dxa"/>
            </w:tcMar>
            <w:vAlign w:val="center"/>
            <w:shd w:fill="EAF1F7"/>
          </w:tcPr>
          <w:p>
            <w:r>
              <w:rPr>
                <w:rFonts w:ascii="Aptos" w:hAnsi="Aptos"/>
                <w:b/>
                <w:color w:val="1F4D78"/>
                <w:sz w:val="18"/>
              </w:rPr>
              <w:t>Focal source</w:t>
            </w:r>
          </w:p>
        </w:tc>
        <w:tc>
          <w:tcPr>
            <w:tcW w:type="dxa" w:w="7416"/>
            <w:tcMar>
              <w:top w:w="80" w:type="dxa"/>
              <w:start w:w="120" w:type="dxa"/>
              <w:bottom w:w="80" w:type="dxa"/>
              <w:end w:w="120" w:type="dxa"/>
            </w:tcMar>
            <w:vAlign w:val="center"/>
          </w:tcPr>
          <w:p>
            <w:r>
              <w:rPr>
                <w:rFonts w:ascii="Aptos" w:hAnsi="Aptos"/>
                <w:sz w:val="19"/>
              </w:rPr>
              <w:t>LA-SRC-B14-F184, Box 14, folio 184; citation LA-042</w:t>
            </w:r>
          </w:p>
        </w:tc>
      </w:tr>
      <w:tr>
        <w:tc>
          <w:tcPr>
            <w:tcW w:type="dxa" w:w="1944"/>
            <w:tcMar>
              <w:top w:w="80" w:type="dxa"/>
              <w:start w:w="120" w:type="dxa"/>
              <w:bottom w:w="80" w:type="dxa"/>
              <w:end w:w="120" w:type="dxa"/>
            </w:tcMar>
            <w:vAlign w:val="center"/>
            <w:shd w:fill="EAF1F7"/>
          </w:tcPr>
          <w:p>
            <w:r>
              <w:rPr>
                <w:rFonts w:ascii="Aptos" w:hAnsi="Aptos"/>
                <w:b/>
                <w:color w:val="1F4D78"/>
                <w:sz w:val="18"/>
              </w:rPr>
              <w:t>Thesis relation</w:t>
            </w:r>
          </w:p>
        </w:tc>
        <w:tc>
          <w:tcPr>
            <w:tcW w:type="dxa" w:w="7416"/>
            <w:tcMar>
              <w:top w:w="80" w:type="dxa"/>
              <w:start w:w="120" w:type="dxa"/>
              <w:bottom w:w="80" w:type="dxa"/>
              <w:end w:w="120" w:type="dxa"/>
            </w:tcMar>
            <w:vAlign w:val="center"/>
          </w:tcPr>
          <w:p>
            <w:r>
              <w:rPr>
                <w:rFonts w:ascii="Aptos" w:hAnsi="Aptos"/>
                <w:sz w:val="19"/>
              </w:rPr>
              <w:t>Editorial meeting device rather than stable national symbol</w:t>
            </w:r>
          </w:p>
        </w:tc>
      </w:tr>
      <w:tr>
        <w:tc>
          <w:tcPr>
            <w:tcW w:type="dxa" w:w="1944"/>
            <w:tcMar>
              <w:top w:w="80" w:type="dxa"/>
              <w:start w:w="120" w:type="dxa"/>
              <w:bottom w:w="80" w:type="dxa"/>
              <w:end w:w="120" w:type="dxa"/>
            </w:tcMar>
            <w:vAlign w:val="center"/>
            <w:shd w:fill="EAF1F7"/>
          </w:tcPr>
          <w:p>
            <w:r>
              <w:rPr>
                <w:rFonts w:ascii="Aptos" w:hAnsi="Aptos"/>
                <w:b/>
                <w:color w:val="1F4D78"/>
                <w:sz w:val="18"/>
              </w:rPr>
              <w:t>Reference snapshot</w:t>
            </w:r>
          </w:p>
        </w:tc>
        <w:tc>
          <w:tcPr>
            <w:tcW w:type="dxa" w:w="7416"/>
            <w:tcMar>
              <w:top w:w="80" w:type="dxa"/>
              <w:start w:w="120" w:type="dxa"/>
              <w:bottom w:w="80" w:type="dxa"/>
              <w:end w:w="120" w:type="dxa"/>
            </w:tcMar>
            <w:vAlign w:val="center"/>
          </w:tcPr>
          <w:p>
            <w:r>
              <w:rPr>
                <w:rFonts w:ascii="Aptos" w:hAnsi="Aptos"/>
                <w:sz w:val="19"/>
              </w:rPr>
              <w:t>2026-07-13</w:t>
            </w:r>
          </w:p>
        </w:tc>
      </w:tr>
    </w:tbl>
    <w:p/>
    <w:p>
      <w:pPr>
        <w:pStyle w:val="Heading1"/>
      </w:pPr>
      <w:r>
        <w:t>Draft claim</w:t>
      </w:r>
    </w:p>
    <w:p>
      <w:pPr>
        <w:spacing w:after="140"/>
      </w:pPr>
      <w:r>
        <w:rPr>
          <w:rFonts w:ascii="Aptos" w:hAnsi="Aptos"/>
          <w:i w:val="0"/>
          <w:sz w:val="22"/>
        </w:rPr>
        <w:t>The linden in the Linden Archive Project does not stabilise a community before correspondence begins. It makes correspondence possible by offering a temporary figure under which divergent editorial tasks can be gathered.</w:t>
      </w:r>
    </w:p>
    <w:p>
      <w:pPr>
        <w:pStyle w:val="Heading1"/>
      </w:pPr>
      <w:r>
        <w:t>Close contextual reading</w:t>
      </w:r>
    </w:p>
    <w:p>
      <w:pPr>
        <w:spacing w:after="140"/>
      </w:pPr>
      <w:r>
        <w:rPr>
          <w:rFonts w:ascii="Aptos" w:hAnsi="Aptos"/>
          <w:i w:val="0"/>
          <w:sz w:val="22"/>
        </w:rPr>
        <w:t>On folio 184, Vale writes to Moreau that “The linden's shade keeps the town's many tongues in one patient circle.” The sentence is treated here as original synthetic corpus text, not as historical quotation. Its significance lies in the relation between “many tongues” and “circle”: the phrase opens a site of co-presence without resolving linguistic difference.</w:t>
      </w:r>
    </w:p>
    <w:p>
      <w:pPr>
        <w:pStyle w:val="Heading1"/>
      </w:pPr>
      <w:r>
        <w:t>Route and consequence</w:t>
      </w:r>
    </w:p>
    <w:p>
      <w:pPr>
        <w:spacing w:after="140"/>
      </w:pPr>
      <w:r>
        <w:rPr>
          <w:rFonts w:ascii="Aptos" w:hAnsi="Aptos"/>
          <w:i w:val="0"/>
          <w:sz w:val="22"/>
        </w:rPr>
        <w:t>The surrounding Box 14 records show the device moving through enclosure, curatorial note, revision, proof, gloss, and reply. Comparators LA-017, LA-028, LA-057, and LA-063 show that later lecture, print, translation, and memorial uses reframe the figure. The chapter therefore reads recurrence as editorial labour, not national essence.</w:t>
      </w:r>
    </w:p>
    <w:p>
      <w:pPr>
        <w:pStyle w:val="Heading2"/>
      </w:pPr>
      <w:r>
        <w:t>Evidence controls</w:t>
      </w:r>
    </w:p>
    <w:p>
      <w:pPr>
        <w:pStyle w:val="ListBullet"/>
        <w:spacing w:after="80"/>
        <w:ind w:left="720" w:hanging="274"/>
      </w:pPr>
      <w:r>
        <w:t>LA-017: Box 6, folio 112 - 1891 lecture notes.</w:t>
      </w:r>
    </w:p>
    <w:p>
      <w:pPr>
        <w:pStyle w:val="ListBullet"/>
        <w:spacing w:after="80"/>
        <w:ind w:left="720" w:hanging="274"/>
      </w:pPr>
      <w:r>
        <w:t>LA-028: Box 9, folio 072 - 1898 print proofs.</w:t>
      </w:r>
    </w:p>
    <w:p>
      <w:pPr>
        <w:pStyle w:val="ListBullet"/>
        <w:spacing w:after="80"/>
        <w:ind w:left="720" w:hanging="274"/>
      </w:pPr>
      <w:r>
        <w:t>LA-042: Box 14, folio 184 - 1907-03-16 Vale to Moreau letter.</w:t>
      </w:r>
    </w:p>
    <w:p>
      <w:pPr>
        <w:pStyle w:val="ListBullet"/>
        <w:spacing w:after="80"/>
        <w:ind w:left="720" w:hanging="274"/>
      </w:pPr>
      <w:r>
        <w:t>LA-057: Box 18, folio 203 - 1910 translation circular.</w:t>
      </w:r>
    </w:p>
    <w:p>
      <w:pPr>
        <w:pStyle w:val="ListBullet"/>
        <w:spacing w:after="80"/>
        <w:ind w:left="720" w:hanging="274"/>
      </w:pPr>
      <w:r>
        <w:t>LA-063: Box 21, folio 044 - 1912 memorial programme.</w:t>
      </w:r>
    </w:p>
    <w:p>
      <w:pPr>
        <w:pStyle w:val="Heading2"/>
      </w:pPr>
      <w:r>
        <w:t>Source note</w:t>
      </w:r>
    </w:p>
    <w:p>
      <w:pPr>
        <w:spacing w:after="140"/>
      </w:pPr>
      <w:r>
        <w:rPr>
          <w:rFonts w:ascii="Aptos" w:hAnsi="Aptos"/>
          <w:i w:val="0"/>
          <w:sz w:val="22"/>
        </w:rPr>
        <w:t>All people, repository records, quotations, source identifiers, and interpretive claims in this chapter material are synthetic. The cited sequence is maintained solely for the Linden Archive Project corpus.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46464"/>
        <w:sz w:val="17"/>
      </w:rPr>
      <w:t>LINDEN ARCHIVE PROJECT  |  DISSERTATION CHAPTER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i/>
      <w:iCs/>
      <w:color w:val="52525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