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center"/>
      </w:pPr>
      <w:r>
        <w:rPr>
          <w:rFonts w:ascii="Aptos" w:hAnsi="Aptos"/>
          <w:b/>
          <w:i w:val="0"/>
          <w:color w:val="183651"/>
          <w:sz w:val="42"/>
        </w:rPr>
        <w:t>Conclusion Draft: The Public as a Listening Form</w:t>
      </w:r>
    </w:p>
    <w:p>
      <w:pPr>
        <w:spacing w:after="320"/>
        <w:jc w:val="center"/>
      </w:pPr>
      <w:r>
        <w:rPr>
          <w:rFonts w:ascii="Aptos" w:hAnsi="Aptos"/>
          <w:b w:val="0"/>
          <w:i/>
          <w:color w:val="505A64"/>
          <w:sz w:val="21"/>
        </w:rPr>
        <w:t>Chapter 02 closing pages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088"/>
            <w:shd w:fill="E8EEF5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183651"/>
                <w:sz w:val="18"/>
              </w:rPr>
              <w:t>RESEARCH FRAME</w:t>
            </w:r>
          </w:p>
        </w:tc>
        <w:tc>
          <w:tcPr>
            <w:tcW w:type="dxa" w:w="6912"/>
            <w:shd w:fill="E8EEF5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183651"/>
                <w:sz w:val="18"/>
              </w:rPr>
              <w:t>VALUE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sz w:val="18"/>
              </w:rPr>
              <w:t>Archive unit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sz w:val="18"/>
              </w:rPr>
              <w:t>Box 14 / Linden Correspondence Series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sz w:val="18"/>
              </w:rPr>
              <w:t>Reference date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sz w:val="18"/>
              </w:rPr>
              <w:t>2026-07-13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sz w:val="18"/>
              </w:rPr>
              <w:t>Working citation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sz w:val="18"/>
              </w:rPr>
              <w:t>citation LA-042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Aptos" w:hAnsi="Aptos"/>
          <w:b/>
          <w:i w:val="0"/>
          <w:color w:val="183651"/>
          <w:sz w:val="26"/>
        </w:rPr>
        <w:t>Return to the claim</w:t>
      </w:r>
    </w:p>
    <w:p>
      <w:pPr>
        <w:spacing w:after="140" w:line="283" w:lineRule="auto"/>
      </w:pPr>
      <w:r>
        <w:rPr>
          <w:rFonts w:ascii="Aptos" w:hAnsi="Aptos"/>
          <w:b w:val="0"/>
          <w:i w:val="0"/>
          <w:sz w:val="21"/>
        </w:rPr>
        <w:t>This wholly synthetic dossier concerns the imagined Haldenmere Civic Repository and its Linden Correspondence Series. It makes no claim about an external archive, person, or collection.</w:t>
      </w:r>
    </w:p>
    <w:p>
      <w:pPr>
        <w:spacing w:after="140" w:line="283" w:lineRule="auto"/>
      </w:pPr>
      <w:r>
        <w:rPr>
          <w:rFonts w:ascii="Aptos" w:hAnsi="Aptos"/>
          <w:b w:val="0"/>
          <w:i w:val="0"/>
          <w:sz w:val="21"/>
        </w:rPr>
        <w:t>The chapter has argued that folio 184 imagines civic attachment through a sequence of small receptive acts: pausing, naming a corner, and allowing a claim to be revised by its own punctuation.</w:t>
      </w:r>
    </w:p>
    <w:p>
      <w:pPr>
        <w:spacing w:before="200" w:after="80"/>
      </w:pPr>
      <w:r>
        <w:rPr>
          <w:rFonts w:ascii="Aptos" w:hAnsi="Aptos"/>
          <w:b/>
          <w:i w:val="0"/>
          <w:color w:val="183651"/>
          <w:sz w:val="26"/>
        </w:rPr>
        <w:t>Contribution</w:t>
      </w:r>
    </w:p>
    <w:p>
      <w:pPr>
        <w:spacing w:after="140" w:line="283" w:lineRule="auto"/>
      </w:pPr>
      <w:r>
        <w:rPr>
          <w:rFonts w:ascii="Aptos" w:hAnsi="Aptos"/>
          <w:b w:val="0"/>
          <w:i w:val="0"/>
          <w:sz w:val="21"/>
        </w:rPr>
        <w:t>This reading offers a vocabulary for discussing archival rhetoric without treating the document as a transparent witness. Its material cues are not decorative residues; they are the means by which the imagined letter rehearses a public capable of disagreement.</w:t>
      </w:r>
    </w:p>
    <w:p>
      <w:pPr>
        <w:spacing w:before="200" w:after="80"/>
      </w:pPr>
      <w:r>
        <w:rPr>
          <w:rFonts w:ascii="Aptos" w:hAnsi="Aptos"/>
          <w:b/>
          <w:i w:val="0"/>
          <w:color w:val="183651"/>
          <w:sz w:val="26"/>
        </w:rPr>
        <w:t>Forward link</w:t>
      </w:r>
    </w:p>
    <w:p>
      <w:pPr>
        <w:spacing w:after="140" w:line="283" w:lineRule="auto"/>
      </w:pPr>
      <w:r>
        <w:rPr>
          <w:rFonts w:ascii="Aptos" w:hAnsi="Aptos"/>
          <w:b w:val="0"/>
          <w:i w:val="0"/>
          <w:sz w:val="21"/>
        </w:rPr>
        <w:t>Chapter 03 will compare this address to later copies in the fictional Linden Correspondence Series, asking how recirculation changes the balance between local image and collective claim.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F6973"/>
        <w:sz w:val="16"/>
      </w:rPr>
      <w:t>Chapter 02  |  Synthetic research working paper  |  2026-07-13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183651"/>
        <w:sz w:val="16"/>
      </w:rPr>
      <w:t>LINDEN ARCHIVE PROJECT  /  DISSERTATION CHAPTER 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